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0E13" w14:textId="77777777" w:rsidR="00594C01" w:rsidRDefault="00DA746B">
      <w:pPr>
        <w:rPr>
          <w:rFonts w:ascii="Arial" w:hAnsi="Arial"/>
          <w:noProof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0E04AAF6" wp14:editId="641F5277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2876550" cy="533400"/>
            <wp:effectExtent l="1905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150"/>
      </w:tblGrid>
      <w:tr w:rsidR="00594C01" w14:paraId="38ACB888" w14:textId="77777777" w:rsidTr="00D70D77">
        <w:tc>
          <w:tcPr>
            <w:tcW w:w="9728" w:type="dxa"/>
            <w:gridSpan w:val="4"/>
            <w:tcBorders>
              <w:bottom w:val="single" w:sz="8" w:space="0" w:color="auto"/>
            </w:tcBorders>
          </w:tcPr>
          <w:p w14:paraId="2C57A048" w14:textId="77777777" w:rsidR="00594C01" w:rsidRDefault="00594C01" w:rsidP="007315B3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594C01" w14:paraId="713D588E" w14:textId="77777777" w:rsidTr="00D70D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55301318" w14:textId="410A10F1" w:rsidR="00594C01" w:rsidRPr="006E5BEA" w:rsidRDefault="00594C01" w:rsidP="000C19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860F63">
              <w:rPr>
                <w:rFonts w:ascii="Arial" w:hAnsi="Arial"/>
                <w:sz w:val="20"/>
              </w:rPr>
              <w:t xml:space="preserve"> </w:t>
            </w:r>
            <w:r w:rsidR="00EC1659">
              <w:rPr>
                <w:rFonts w:ascii="Arial" w:hAnsi="Arial"/>
                <w:sz w:val="20"/>
              </w:rPr>
              <w:t xml:space="preserve">Senior </w:t>
            </w:r>
            <w:r w:rsidR="007A5529">
              <w:rPr>
                <w:rFonts w:ascii="Arial" w:hAnsi="Arial"/>
                <w:sz w:val="20"/>
              </w:rPr>
              <w:t xml:space="preserve">Student Recruitment </w:t>
            </w:r>
            <w:r w:rsidR="00EC1659">
              <w:rPr>
                <w:rFonts w:ascii="Arial" w:hAnsi="Arial"/>
                <w:sz w:val="20"/>
              </w:rPr>
              <w:t>Coordinator</w:t>
            </w:r>
          </w:p>
        </w:tc>
        <w:tc>
          <w:tcPr>
            <w:tcW w:w="4220" w:type="dxa"/>
            <w:gridSpan w:val="2"/>
            <w:tcBorders>
              <w:left w:val="nil"/>
              <w:bottom w:val="nil"/>
            </w:tcBorders>
            <w:vAlign w:val="center"/>
          </w:tcPr>
          <w:p w14:paraId="305969D2" w14:textId="5BA17DCB" w:rsidR="00594C01" w:rsidRDefault="00143C49" w:rsidP="00860F6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0C19D9">
              <w:rPr>
                <w:rFonts w:ascii="Arial" w:hAnsi="Arial"/>
                <w:sz w:val="20"/>
              </w:rPr>
              <w:t xml:space="preserve">Senior </w:t>
            </w:r>
            <w:r w:rsidR="00860F63">
              <w:rPr>
                <w:rFonts w:ascii="Arial" w:hAnsi="Arial"/>
                <w:sz w:val="20"/>
              </w:rPr>
              <w:t>Marketing Manager</w:t>
            </w:r>
          </w:p>
        </w:tc>
      </w:tr>
      <w:tr w:rsidR="00143C49" w14:paraId="27466CDF" w14:textId="77777777" w:rsidTr="00D70D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597B336D" w14:textId="3A38CAD6" w:rsidR="00143C49" w:rsidRDefault="00143C49" w:rsidP="007A552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</w:t>
            </w:r>
            <w:r w:rsidR="00997DB7">
              <w:rPr>
                <w:rFonts w:ascii="Arial" w:hAnsi="Arial"/>
                <w:sz w:val="20"/>
              </w:rPr>
              <w:t xml:space="preserve">Fixed term: </w:t>
            </w:r>
            <w:r w:rsidR="000C19D9">
              <w:rPr>
                <w:rFonts w:ascii="Arial" w:hAnsi="Arial"/>
                <w:sz w:val="20"/>
              </w:rPr>
              <w:t>12</w:t>
            </w:r>
            <w:r w:rsidR="00997DB7">
              <w:rPr>
                <w:rFonts w:ascii="Arial" w:hAnsi="Arial"/>
                <w:sz w:val="20"/>
              </w:rPr>
              <w:t xml:space="preserve"> months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AF8B" w14:textId="77777777" w:rsidR="00143C49" w:rsidRPr="00143C49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35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</w:tcBorders>
            <w:vAlign w:val="center"/>
          </w:tcPr>
          <w:p w14:paraId="0C0B4443" w14:textId="77777777" w:rsidR="00143C49" w:rsidRPr="006E5BEA" w:rsidRDefault="00143C49" w:rsidP="00143C49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3807E7" w:rsidRPr="003807E7">
              <w:rPr>
                <w:rFonts w:ascii="Arial" w:hAnsi="Arial"/>
                <w:sz w:val="20"/>
              </w:rPr>
              <w:t>All</w:t>
            </w:r>
          </w:p>
        </w:tc>
      </w:tr>
      <w:tr w:rsidR="00594C01" w14:paraId="650F0F4C" w14:textId="77777777" w:rsidTr="00D70D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CB7922" w14:textId="304F0677" w:rsidR="00594C01" w:rsidRDefault="00143C49" w:rsidP="00F82C5D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6308D">
              <w:rPr>
                <w:rFonts w:ascii="Arial" w:hAnsi="Arial"/>
                <w:sz w:val="20"/>
              </w:rPr>
              <w:t>£</w:t>
            </w:r>
            <w:r w:rsidR="00F82C5D">
              <w:rPr>
                <w:rFonts w:ascii="Arial" w:hAnsi="Arial"/>
                <w:sz w:val="20"/>
              </w:rPr>
              <w:t>£33,653</w:t>
            </w:r>
            <w:r w:rsidR="00D70D77">
              <w:rPr>
                <w:rFonts w:ascii="Arial" w:hAnsi="Arial"/>
                <w:sz w:val="20"/>
              </w:rPr>
              <w:t xml:space="preserve"> - £</w:t>
            </w:r>
            <w:r w:rsidR="00F82C5D">
              <w:rPr>
                <w:rFonts w:ascii="Arial" w:hAnsi="Arial"/>
                <w:sz w:val="20"/>
              </w:rPr>
              <w:t>41,329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F2EA30" w14:textId="62B7C218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</w:t>
            </w:r>
            <w:r w:rsidR="00F337F0">
              <w:rPr>
                <w:rFonts w:ascii="Arial" w:hAnsi="Arial"/>
                <w:sz w:val="20"/>
              </w:rPr>
              <w:t>4</w:t>
            </w:r>
          </w:p>
        </w:tc>
      </w:tr>
      <w:tr w:rsidR="00594C01" w14:paraId="30696B76" w14:textId="77777777" w:rsidTr="00D70D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0DCACAFA" w14:textId="77777777" w:rsidR="00594C01" w:rsidRPr="006E5BEA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London College of Communication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</w:tcBorders>
            <w:vAlign w:val="center"/>
          </w:tcPr>
          <w:p w14:paraId="37D98FAB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Elephant &amp; Castle</w:t>
            </w:r>
          </w:p>
        </w:tc>
      </w:tr>
      <w:tr w:rsidR="00594C01" w14:paraId="3A28485A" w14:textId="77777777" w:rsidTr="00D70D77">
        <w:tc>
          <w:tcPr>
            <w:tcW w:w="9728" w:type="dxa"/>
            <w:gridSpan w:val="4"/>
          </w:tcPr>
          <w:p w14:paraId="308B8E7D" w14:textId="69DAB0BE" w:rsidR="00F337F0" w:rsidRDefault="00594C01">
            <w:pPr>
              <w:rPr>
                <w:rFonts w:ascii="Arial" w:hAnsi="Arial"/>
                <w:sz w:val="20"/>
              </w:rPr>
            </w:pPr>
            <w:r w:rsidRPr="00860F63">
              <w:rPr>
                <w:rFonts w:ascii="Arial" w:hAnsi="Arial"/>
                <w:b/>
                <w:sz w:val="20"/>
              </w:rPr>
              <w:t>Purpose of Role:</w:t>
            </w:r>
            <w:r w:rsidRPr="00860F63">
              <w:rPr>
                <w:rFonts w:ascii="Arial" w:hAnsi="Arial"/>
                <w:sz w:val="20"/>
              </w:rPr>
              <w:t xml:space="preserve"> </w:t>
            </w:r>
            <w:r w:rsidR="00F337F0" w:rsidRPr="00C401AB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>London College of Communication</w:t>
            </w:r>
            <w:r w:rsidR="00F337F0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 xml:space="preserve"> (LCC)</w:t>
            </w:r>
            <w:r w:rsidR="00F337F0" w:rsidRPr="00C401AB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 xml:space="preserve"> is a pioneering world leader in creative communications education. We nurture and develop the critical, creative, and technical excellence needed to discover new possibilities and practices in creative communications, through a diverse, world-leading community of teaching, research and partnerships with industry. Future plans for the College include a cutting edge new building that will allow us to explore our approach to learning and teaching, engaging with our communities, and contribution to the wider creative and cultural landscape.</w:t>
            </w:r>
          </w:p>
          <w:p w14:paraId="3D07A892" w14:textId="77777777" w:rsidR="00F337F0" w:rsidRDefault="00F337F0">
            <w:pPr>
              <w:rPr>
                <w:rFonts w:ascii="Arial" w:hAnsi="Arial"/>
                <w:sz w:val="20"/>
              </w:rPr>
            </w:pPr>
          </w:p>
          <w:p w14:paraId="574C6DA0" w14:textId="0D32B192" w:rsidR="00864E7B" w:rsidRDefault="00F337F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purpose of this role is to develop and undertake</w:t>
            </w:r>
            <w:r w:rsidR="002B48DF" w:rsidRPr="002B48DF">
              <w:rPr>
                <w:rFonts w:ascii="Arial" w:hAnsi="Arial" w:cs="Arial"/>
                <w:sz w:val="20"/>
                <w:szCs w:val="20"/>
              </w:rPr>
              <w:t xml:space="preserve"> a range of student recruitment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events and </w:t>
            </w:r>
            <w:r w:rsidR="002B48DF" w:rsidRPr="002B48DF">
              <w:rPr>
                <w:rFonts w:ascii="Arial" w:hAnsi="Arial" w:cs="Arial"/>
                <w:sz w:val="20"/>
                <w:szCs w:val="20"/>
              </w:rPr>
              <w:t>activities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aimed at increasing the quantity and quality of applications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courses </w:t>
            </w:r>
            <w:r w:rsidR="00B72307">
              <w:rPr>
                <w:rFonts w:ascii="Arial" w:hAnsi="Arial" w:cs="Arial"/>
                <w:sz w:val="20"/>
                <w:szCs w:val="20"/>
              </w:rPr>
              <w:t>at London College of Communication (LCC)</w:t>
            </w:r>
            <w:r w:rsidR="004B7B34">
              <w:rPr>
                <w:rFonts w:ascii="Arial" w:hAnsi="Arial" w:cs="Arial"/>
                <w:sz w:val="20"/>
                <w:szCs w:val="20"/>
              </w:rPr>
              <w:t>,</w:t>
            </w:r>
            <w:r w:rsidR="00B72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supporting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the conversion of </w:t>
            </w:r>
            <w:r w:rsidR="007D6F49">
              <w:rPr>
                <w:rFonts w:ascii="Arial" w:hAnsi="Arial" w:cs="Arial"/>
                <w:sz w:val="20"/>
                <w:szCs w:val="20"/>
              </w:rPr>
              <w:t xml:space="preserve">enquiries to 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applications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enrolments. </w:t>
            </w: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="00465CD6">
              <w:rPr>
                <w:rFonts w:ascii="Arial" w:hAnsi="Arial" w:cs="Arial"/>
                <w:sz w:val="20"/>
                <w:szCs w:val="20"/>
              </w:rPr>
              <w:t>ost holder will also 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core support to the delivery of LCC’s</w:t>
            </w:r>
            <w:r w:rsidR="00465CD6">
              <w:rPr>
                <w:rFonts w:ascii="Arial" w:hAnsi="Arial" w:cs="Arial"/>
                <w:sz w:val="20"/>
                <w:szCs w:val="20"/>
              </w:rPr>
              <w:t xml:space="preserve"> marketing and promo</w:t>
            </w:r>
            <w:r w:rsidR="000B6259">
              <w:rPr>
                <w:rFonts w:ascii="Arial" w:hAnsi="Arial" w:cs="Arial"/>
                <w:sz w:val="20"/>
                <w:szCs w:val="20"/>
              </w:rPr>
              <w:t>tional campaigns as required. Re</w:t>
            </w:r>
            <w:r w:rsidR="00465CD6">
              <w:rPr>
                <w:rFonts w:ascii="Arial" w:hAnsi="Arial" w:cs="Arial"/>
                <w:sz w:val="20"/>
                <w:szCs w:val="20"/>
              </w:rPr>
              <w:t>sponsible for the line management and development of the Student Recruitment Coordinator.</w:t>
            </w:r>
          </w:p>
          <w:p w14:paraId="2A167236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2394A1F6" w14:textId="77777777" w:rsidTr="00D70D77">
        <w:tc>
          <w:tcPr>
            <w:tcW w:w="9728" w:type="dxa"/>
            <w:gridSpan w:val="4"/>
          </w:tcPr>
          <w:p w14:paraId="366C6A28" w14:textId="20F2A950" w:rsidR="00594C01" w:rsidRPr="004B7B34" w:rsidRDefault="00594C0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Duties and Responsibilities</w:t>
            </w:r>
          </w:p>
          <w:p w14:paraId="7831429D" w14:textId="77777777" w:rsidR="004879C9" w:rsidRPr="004B7B34" w:rsidRDefault="004879C9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4D5892F" w14:textId="77777777" w:rsidR="00B72307" w:rsidRPr="004B7B34" w:rsidRDefault="00B7230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Principle responsibilities</w:t>
            </w:r>
          </w:p>
          <w:p w14:paraId="5EFC8532" w14:textId="6CD2D586" w:rsidR="00572E64" w:rsidRPr="00EE1899" w:rsidRDefault="00572E64" w:rsidP="00EE189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6634E6">
              <w:rPr>
                <w:rFonts w:ascii="Arial" w:hAnsi="Arial" w:cs="Arial"/>
                <w:color w:val="000000" w:themeColor="text1"/>
                <w:sz w:val="20"/>
                <w:szCs w:val="20"/>
              </w:rPr>
              <w:t>lead on and organise</w:t>
            </w:r>
            <w:r w:rsidR="00465CD6" w:rsidRP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 recruitment </w:t>
            </w:r>
            <w:r w:rsidR="00465CD6" w:rsidRP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events and </w:t>
            </w:r>
            <w:r w:rsidRP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activities for London College of Communication</w:t>
            </w:r>
            <w:r w:rsidR="00465CD6" w:rsidRP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order to both increase applications and support conversion to enrolment</w:t>
            </w:r>
            <w:r w:rsidR="00A704B4" w:rsidRP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AA37BF" w14:textId="1ED866F7" w:rsidR="00465CD6" w:rsidRDefault="00465CD6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monitor and evaluate LCC’s student recruitment events and activities in order to improve delivery and enhance the visitor experience.</w:t>
            </w:r>
          </w:p>
          <w:p w14:paraId="188EC70D" w14:textId="5BC3A013" w:rsidR="00B72307" w:rsidRDefault="00B72307" w:rsidP="00B723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utilise a wide range of tools and materials to both increase </w:t>
            </w:r>
            <w:r w:rsidR="004039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course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applications and support conversion to enrolment.</w:t>
            </w:r>
          </w:p>
          <w:p w14:paraId="15E71D23" w14:textId="0FF10F3F" w:rsidR="00465CD6" w:rsidRPr="004B7B34" w:rsidRDefault="00465CD6" w:rsidP="00B723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provide core support to the delivery of LCC’s marketing and promotional plans, coordinating campaigns when required.</w:t>
            </w:r>
          </w:p>
          <w:p w14:paraId="3877092D" w14:textId="77777777" w:rsidR="00B72307" w:rsidRPr="004B7B34" w:rsidRDefault="00B72307" w:rsidP="00B723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A7D9D1" w14:textId="77777777" w:rsidR="00B72307" w:rsidRPr="004B7B34" w:rsidRDefault="00B72307" w:rsidP="00B7230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Recruitment events</w:t>
            </w:r>
          </w:p>
          <w:p w14:paraId="475BF1EE" w14:textId="011F7812" w:rsidR="00633141" w:rsidRPr="004B7B34" w:rsidRDefault="00633141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plan,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review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>n annual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programme of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recruitment events</w:t>
            </w:r>
            <w:r w:rsid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LCC,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open days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/evenings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B73F6">
              <w:rPr>
                <w:rFonts w:ascii="Arial" w:hAnsi="Arial" w:cs="Arial"/>
                <w:color w:val="000000" w:themeColor="text1"/>
                <w:sz w:val="20"/>
                <w:szCs w:val="20"/>
              </w:rPr>
              <w:t>offer holder</w:t>
            </w:r>
            <w:r w:rsidR="00AB73F6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days, ensuring a </w:t>
            </w:r>
            <w:r w:rsidR="0056265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consistently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quality visitor experience</w:t>
            </w:r>
            <w:r w:rsidR="00A33E98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D5D0A7C" w14:textId="7AE0E578" w:rsidR="00C833FC" w:rsidRPr="004B7B34" w:rsidRDefault="00C833FC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</w:t>
            </w:r>
            <w:r w:rsid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oversee</w:t>
            </w:r>
            <w:r w:rsidR="00101830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logistics for London College of Communication’s attendance at external student recruitment events, including accommodation, travel and couriers.</w:t>
            </w:r>
          </w:p>
          <w:p w14:paraId="6567F469" w14:textId="77777777" w:rsidR="00C833FC" w:rsidRPr="004B7B34" w:rsidRDefault="00C833FC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represent London College of Communication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provide information and advice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 external student recruitment events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0185747" w14:textId="466F6C67" w:rsidR="00E22A89" w:rsidRPr="004B7B34" w:rsidRDefault="00E22A89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proactively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record, store and run reports on marketing data related to recruitment events organised and attended by the College.</w:t>
            </w:r>
          </w:p>
          <w:p w14:paraId="20D937A8" w14:textId="251C93F1" w:rsidR="0032516F" w:rsidRPr="004B7B34" w:rsidRDefault="00E22A89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plan, </w:t>
            </w:r>
            <w:r w:rsidR="00EA0F36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and 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oversee the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>y of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effective and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 communications to stakeholders of recruitment events, including attendees, students, and academic and support staff</w:t>
            </w:r>
            <w:r w:rsidR="006952FA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838DAFB" w14:textId="34561C01" w:rsidR="00FD1A8F" w:rsidRPr="004B7B34" w:rsidRDefault="00FD1A8F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EE1899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</w:t>
            </w:r>
            <w:r w:rsidR="00EE189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tudent 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>Ambassadors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’ involvement in marketing and recruitment activities, including briefing students on specific roles/responsibilities and handling payments.</w:t>
            </w:r>
          </w:p>
          <w:p w14:paraId="4835BCCE" w14:textId="6949AD41" w:rsidR="00FD1A8F" w:rsidRPr="004B7B34" w:rsidRDefault="00FD1A8F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3D1C6D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and </w:t>
            </w:r>
            <w:r w:rsidR="00101830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</w:t>
            </w:r>
            <w:r w:rsidR="00101830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training activities for </w:t>
            </w:r>
            <w:r w:rsidR="00AC1D76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Ambassadors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ensure they provide professional support at student recruitment events.</w:t>
            </w:r>
          </w:p>
          <w:p w14:paraId="5098FAB5" w14:textId="77777777" w:rsidR="0032516F" w:rsidRDefault="0032516F" w:rsidP="00325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9B1414" w14:textId="77777777" w:rsidR="00AC1D76" w:rsidRDefault="00AC1D76" w:rsidP="00325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Management Supervision</w:t>
            </w:r>
          </w:p>
          <w:p w14:paraId="7C27BF9F" w14:textId="77777777" w:rsidR="00AC1D76" w:rsidRDefault="00AC1D76" w:rsidP="009C42B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line manage and develop the Student Recruitment Coordinator in line with University policies and procedures, instilling a positive team culture and proactive approach.</w:t>
            </w:r>
          </w:p>
          <w:p w14:paraId="0AF90943" w14:textId="715925EE" w:rsidR="00AC1D76" w:rsidRPr="009C42B7" w:rsidRDefault="00AC1D76" w:rsidP="009C42B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oversee Student Ambassadors’ involvement in student recruitment activities, including organising and supporting selection, training and briefing activities when required.</w:t>
            </w:r>
          </w:p>
          <w:p w14:paraId="7E5E2113" w14:textId="77777777" w:rsidR="00AC1D76" w:rsidRPr="004B7B34" w:rsidRDefault="00AC1D76" w:rsidP="00325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D6E3B9" w14:textId="77777777" w:rsidR="0032516F" w:rsidRPr="004B7B34" w:rsidRDefault="0032516F" w:rsidP="003251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Budget/resource monitoring</w:t>
            </w:r>
          </w:p>
          <w:p w14:paraId="4DA38A7D" w14:textId="1604C27E" w:rsidR="006634E6" w:rsidRDefault="006634E6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To routinely monitor the marketing budget and to run financial reports when required.</w:t>
            </w:r>
          </w:p>
          <w:p w14:paraId="29EAEE40" w14:textId="77777777" w:rsidR="0032516F" w:rsidRPr="004B7B34" w:rsidRDefault="0032516F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routinely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 stock levels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marketing materials so that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suitable quantities are available for recruitment activities.</w:t>
            </w:r>
          </w:p>
          <w:p w14:paraId="34C2D003" w14:textId="77777777" w:rsidR="0032516F" w:rsidRPr="004B7B34" w:rsidRDefault="0032516F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raise purchase orders and process payments from the LCC marketing budget.</w:t>
            </w:r>
          </w:p>
          <w:p w14:paraId="3B4A1BD3" w14:textId="77777777" w:rsidR="00C833FC" w:rsidRDefault="00C833FC" w:rsidP="00C833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110364" w14:textId="77777777" w:rsidR="00AC1D76" w:rsidRDefault="00AC1D76" w:rsidP="00C833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Printed materials and promotional merchandise</w:t>
            </w:r>
          </w:p>
          <w:p w14:paraId="2E690723" w14:textId="6A2250B7" w:rsidR="00AC1D76" w:rsidRPr="009C42B7" w:rsidRDefault="00AC1D76" w:rsidP="009C42B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manage the design and production of printed materials that promote and support recruitment events and activities, in line with branding guidelines.</w:t>
            </w:r>
          </w:p>
          <w:p w14:paraId="4EEE7E1D" w14:textId="77777777" w:rsidR="00AC1D76" w:rsidRPr="004B7B34" w:rsidRDefault="00AC1D76" w:rsidP="00C833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1A4A1E" w14:textId="77777777" w:rsidR="00E22A89" w:rsidRPr="004B7B34" w:rsidRDefault="00E22A89" w:rsidP="00E22A8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Campaign planning and implementation</w:t>
            </w:r>
          </w:p>
          <w:p w14:paraId="7C9A19EA" w14:textId="4A887732" w:rsidR="00E22A89" w:rsidRPr="004B7B3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0423A1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and implement</w:t>
            </w:r>
            <w:r w:rsidR="0032516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 recruitment campaigns for specific subject areas 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order to address recruitment priorities and needs. </w:t>
            </w:r>
          </w:p>
          <w:p w14:paraId="3EE12EFA" w14:textId="785DA1E3" w:rsidR="00FD1A8F" w:rsidRPr="004B7B34" w:rsidRDefault="00E40D53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D9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identify and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appropriate communication channels (online and offline) for reaching target audiences.</w:t>
            </w:r>
          </w:p>
          <w:p w14:paraId="5FD40828" w14:textId="55C884F2" w:rsidR="00FD1A8F" w:rsidRPr="004B7B34" w:rsidRDefault="00FD1A8F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coordinate</w:t>
            </w:r>
            <w:r w:rsidR="00D9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project manage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production of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compelling and engaging print and digital advertising that raises awareness of LCC’s courses and generates enquiries, open day bookings and applications.</w:t>
            </w:r>
          </w:p>
          <w:p w14:paraId="6449D07A" w14:textId="2F220A6A" w:rsidR="00FD1A8F" w:rsidRPr="004B7B34" w:rsidRDefault="00FD1A8F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2C79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contribute to the </w:t>
            </w:r>
            <w:r w:rsidR="005F75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and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</w:t>
            </w:r>
            <w:r w:rsidR="002C793B">
              <w:rPr>
                <w:rFonts w:ascii="Arial" w:hAnsi="Arial" w:cs="Arial"/>
                <w:color w:val="000000" w:themeColor="text1"/>
                <w:sz w:val="20"/>
                <w:szCs w:val="20"/>
              </w:rPr>
              <w:t>y of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 annual communications plan that supports conversion between key recruitment touch points, including enquiry, open day visit, application, offer and enrolment. Elements of the plan to include targeted HTML e-zines and recruitment events.</w:t>
            </w:r>
          </w:p>
          <w:p w14:paraId="05C6A8F6" w14:textId="77777777" w:rsidR="00FD1A8F" w:rsidRPr="004B7B34" w:rsidRDefault="00FD1A8F" w:rsidP="00E22A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4C910D" w14:textId="77777777" w:rsidR="00E40D53" w:rsidRPr="004B7B34" w:rsidRDefault="00E40D53" w:rsidP="00E40D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Stakeholder communication and networking</w:t>
            </w:r>
          </w:p>
          <w:p w14:paraId="61657597" w14:textId="5C05607B" w:rsidR="00572E64" w:rsidRPr="004B7B3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0E1C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and support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activities that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relationships with key feeder institutions to support recruitment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C5D01D8" w14:textId="77777777" w:rsidR="00E40D53" w:rsidRPr="004B7B34" w:rsidRDefault="00E40D53" w:rsidP="00E40D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1C62BB" w14:textId="77777777" w:rsidR="00E40D53" w:rsidRPr="004B7B34" w:rsidRDefault="00E40D53" w:rsidP="00E40D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Marketing intelligence</w:t>
            </w:r>
          </w:p>
          <w:p w14:paraId="470480AA" w14:textId="736021AD" w:rsidR="00E40D53" w:rsidRPr="004B7B34" w:rsidRDefault="00E40D53" w:rsidP="00E40D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0E1C67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undertake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market research and data analysis </w:t>
            </w:r>
            <w:r w:rsidR="000E1C67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the direction of the Senior Marketing Manager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2C8E6B5" w14:textId="49F8D55F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0E1C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proactively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and evaluate </w:t>
            </w:r>
            <w:r w:rsidR="00CA73F2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recruitment</w:t>
            </w:r>
            <w:r w:rsidR="00CA73F2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activities, including the compilation and analysis of data </w:t>
            </w:r>
            <w:r w:rsidR="000E1C67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marketing reports</w:t>
            </w:r>
            <w:r w:rsidR="000E1C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plans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0476547" w14:textId="77777777" w:rsidR="00E40D53" w:rsidRPr="004B7B34" w:rsidRDefault="00E40D53" w:rsidP="00E40D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051F20" w14:textId="77777777" w:rsidR="009357D5" w:rsidRPr="004B7B34" w:rsidRDefault="009357D5" w:rsidP="009357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Team working</w:t>
            </w:r>
          </w:p>
          <w:p w14:paraId="7587C94A" w14:textId="6A1E6A29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the wider </w:t>
            </w:r>
            <w:r w:rsidR="002C793B">
              <w:rPr>
                <w:rFonts w:ascii="Arial" w:hAnsi="Arial" w:cs="Arial"/>
                <w:color w:val="000000" w:themeColor="text1"/>
                <w:sz w:val="20"/>
                <w:szCs w:val="20"/>
              </w:rPr>
              <w:t>LCC Internal and External Relations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634E6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initiatives that raise the profile of the College and enhance its reputation.</w:t>
            </w:r>
          </w:p>
          <w:p w14:paraId="754224B3" w14:textId="2BDBA021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work closely with colleagues across the College, including academic and admin staff, taking a joined</w:t>
            </w:r>
            <w:r w:rsidR="000E1C6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up approach to recruitment and foster a positive culture of collaboration.</w:t>
            </w:r>
          </w:p>
          <w:p w14:paraId="0586DAF2" w14:textId="56568676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develop effective working relationships with </w:t>
            </w:r>
            <w:r w:rsidR="004039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 recruitment and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colleagues across the University and the other Colleges.</w:t>
            </w:r>
          </w:p>
          <w:p w14:paraId="218A2964" w14:textId="77777777" w:rsidR="009357D5" w:rsidRPr="004B7B34" w:rsidRDefault="009357D5" w:rsidP="009357D5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62B300" w14:textId="77777777" w:rsidR="009357D5" w:rsidRPr="004B7B34" w:rsidRDefault="009357D5" w:rsidP="009357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responsibilities</w:t>
            </w:r>
          </w:p>
          <w:p w14:paraId="0179E065" w14:textId="77777777" w:rsidR="00AF6C2A" w:rsidRPr="004B7B34" w:rsidRDefault="00AF6C2A" w:rsidP="00572E64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A22A8E" w14:textId="77777777" w:rsidR="00AF6C2A" w:rsidRPr="004B7B34" w:rsidRDefault="00AF6C2A" w:rsidP="00572E64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health and safety duties and responsibilities appropriate to the role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7475557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6A1C20B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69E1F39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make full use of all information and communication technologies </w:t>
            </w:r>
            <w:r w:rsidRPr="004B7B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 adherence to data protection policies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meet the requirements of the role and to promote organisational effectiveness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B20B7E1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13B1B57" w14:textId="77777777" w:rsidR="00594C01" w:rsidRPr="004B7B34" w:rsidRDefault="00594C0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94C01" w14:paraId="5B92343E" w14:textId="77777777" w:rsidTr="00D70D77">
        <w:trPr>
          <w:trHeight w:val="1252"/>
        </w:trPr>
        <w:tc>
          <w:tcPr>
            <w:tcW w:w="9728" w:type="dxa"/>
            <w:gridSpan w:val="4"/>
          </w:tcPr>
          <w:p w14:paraId="18162D8A" w14:textId="77777777" w:rsidR="00594C01" w:rsidRPr="004B7B34" w:rsidRDefault="00594C01">
            <w:pPr>
              <w:pStyle w:val="Heading4"/>
              <w:rPr>
                <w:color w:val="000000" w:themeColor="text1"/>
                <w:sz w:val="20"/>
                <w:szCs w:val="20"/>
              </w:rPr>
            </w:pPr>
            <w:r w:rsidRPr="004B7B34">
              <w:rPr>
                <w:b/>
                <w:color w:val="000000" w:themeColor="text1"/>
                <w:sz w:val="20"/>
                <w:szCs w:val="20"/>
              </w:rPr>
              <w:lastRenderedPageBreak/>
              <w:t>Key Working Relationships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14:paraId="25DDD270" w14:textId="1A7F2795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EF4A9E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College </w:t>
            </w:r>
            <w:r w:rsidR="003D14F7">
              <w:rPr>
                <w:color w:val="000000" w:themeColor="text1"/>
                <w:sz w:val="20"/>
                <w:szCs w:val="20"/>
                <w:u w:val="none"/>
              </w:rPr>
              <w:t>Internal and External Relations</w:t>
            </w:r>
            <w:r w:rsidR="00EF4A9E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T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eam;</w:t>
            </w:r>
          </w:p>
          <w:p w14:paraId="49DEDB38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The College Management Team;</w:t>
            </w:r>
          </w:p>
          <w:p w14:paraId="058CC698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Course </w:t>
            </w:r>
            <w:r w:rsidR="00EF4A9E" w:rsidRPr="004B7B34">
              <w:rPr>
                <w:color w:val="000000" w:themeColor="text1"/>
                <w:sz w:val="20"/>
                <w:szCs w:val="20"/>
                <w:u w:val="none"/>
              </w:rPr>
              <w:t>Leaders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and Programme Directors;</w:t>
            </w:r>
          </w:p>
          <w:p w14:paraId="04AB6121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The</w:t>
            </w:r>
            <w:r w:rsidR="009357D5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College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Information Centre;</w:t>
            </w:r>
          </w:p>
          <w:p w14:paraId="3DB9F366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9357D5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College 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Admissions Team;</w:t>
            </w:r>
          </w:p>
          <w:p w14:paraId="21BB63AD" w14:textId="239AE7C9" w:rsidR="009357D5" w:rsidRPr="004B7B34" w:rsidRDefault="009357D5" w:rsidP="009357D5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UAL </w:t>
            </w:r>
            <w:r w:rsidR="005C1234">
              <w:rPr>
                <w:color w:val="000000" w:themeColor="text1"/>
                <w:sz w:val="20"/>
                <w:szCs w:val="20"/>
                <w:u w:val="none"/>
              </w:rPr>
              <w:t xml:space="preserve">Student 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Marketing and Recruitment team;</w:t>
            </w:r>
          </w:p>
          <w:p w14:paraId="2CEBB299" w14:textId="77777777" w:rsidR="00D65F90" w:rsidRPr="004B7B34" w:rsidRDefault="00EF4A9E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Other staff,</w:t>
            </w:r>
            <w:r w:rsidR="00D65F90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external partners and suppliers etc with whom regular contact is required.</w:t>
            </w:r>
          </w:p>
          <w:p w14:paraId="692F6DBF" w14:textId="77777777" w:rsidR="00594C01" w:rsidRPr="004B7B34" w:rsidRDefault="00594C01" w:rsidP="00D65F90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4C01" w14:paraId="553592FC" w14:textId="77777777" w:rsidTr="00D70D77">
        <w:tc>
          <w:tcPr>
            <w:tcW w:w="9728" w:type="dxa"/>
            <w:gridSpan w:val="4"/>
          </w:tcPr>
          <w:p w14:paraId="12EB1208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F1F78C6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56922CA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D65F90">
              <w:rPr>
                <w:rFonts w:ascii="Arial" w:hAnsi="Arial"/>
                <w:sz w:val="20"/>
              </w:rPr>
              <w:t xml:space="preserve"> </w:t>
            </w:r>
            <w:r w:rsidR="00F37226">
              <w:rPr>
                <w:rFonts w:ascii="Arial" w:hAnsi="Arial"/>
                <w:sz w:val="20"/>
              </w:rPr>
              <w:t>Not applicable.</w:t>
            </w:r>
          </w:p>
          <w:p w14:paraId="3D687793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6BC01439" w14:textId="08BABCAD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D65F90">
              <w:t xml:space="preserve"> </w:t>
            </w:r>
            <w:r w:rsidR="005C1234">
              <w:t>Student Recruitment Coordinator</w:t>
            </w:r>
          </w:p>
          <w:p w14:paraId="42D4B609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5583D53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</w:p>
        </w:tc>
      </w:tr>
    </w:tbl>
    <w:p w14:paraId="0354B4E1" w14:textId="77777777" w:rsidR="00594C01" w:rsidRDefault="00594C01">
      <w:pPr>
        <w:rPr>
          <w:rFonts w:ascii="Arial" w:hAnsi="Arial"/>
          <w:b/>
          <w:sz w:val="20"/>
        </w:rPr>
      </w:pPr>
    </w:p>
    <w:p w14:paraId="63ABBB5B" w14:textId="7EE4E43A" w:rsidR="00594C01" w:rsidRDefault="004731C5">
      <w:pPr>
        <w:rPr>
          <w:rFonts w:ascii="Arial" w:hAnsi="Arial"/>
          <w:b/>
          <w:sz w:val="20"/>
        </w:rPr>
      </w:pPr>
      <w:r>
        <w:tab/>
        <w:t xml:space="preserve">HERA - </w:t>
      </w:r>
      <w:r w:rsidR="009C42B7">
        <w:t>000883</w:t>
      </w:r>
    </w:p>
    <w:p w14:paraId="4E3F84ED" w14:textId="77777777" w:rsidR="00594C01" w:rsidRDefault="00594C01">
      <w:pPr>
        <w:rPr>
          <w:rFonts w:ascii="Arial" w:hAnsi="Arial"/>
          <w:b/>
          <w:sz w:val="20"/>
        </w:rPr>
      </w:pPr>
    </w:p>
    <w:p w14:paraId="75DB5408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A33B23C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2C49A767" w14:textId="77777777"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14:paraId="20A7DAC9" w14:textId="77777777" w:rsidR="000D09F2" w:rsidRDefault="000D09F2">
      <w:pPr>
        <w:spacing w:line="240" w:lineRule="atLeast"/>
        <w:rPr>
          <w:rFonts w:ascii="Arial" w:hAnsi="Arial" w:cs="Arial"/>
          <w:sz w:val="20"/>
        </w:rPr>
      </w:pPr>
    </w:p>
    <w:p w14:paraId="6281059E" w14:textId="77777777" w:rsidR="000D09F2" w:rsidRDefault="000D09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AC16BDF" w14:textId="71839B10" w:rsidR="007E1B5A" w:rsidRDefault="007E1B5A" w:rsidP="007E1B5A">
      <w:pPr>
        <w:ind w:firstLine="720"/>
        <w:rPr>
          <w:rFonts w:ascii="Arial" w:hAnsi="Arial" w:cs="Arial"/>
          <w:sz w:val="20"/>
        </w:rPr>
      </w:pPr>
      <w:r w:rsidRPr="00FD7F6E">
        <w:rPr>
          <w:rFonts w:ascii="Arial" w:hAnsi="Arial" w:cs="Arial"/>
          <w:b/>
          <w:sz w:val="28"/>
          <w:szCs w:val="28"/>
        </w:rPr>
        <w:lastRenderedPageBreak/>
        <w:t>Job Title: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C1659">
        <w:rPr>
          <w:rFonts w:ascii="Arial" w:hAnsi="Arial" w:cs="Arial"/>
          <w:b/>
          <w:sz w:val="28"/>
          <w:szCs w:val="28"/>
        </w:rPr>
        <w:t xml:space="preserve">Senior </w:t>
      </w:r>
      <w:r w:rsidR="007F3339">
        <w:rPr>
          <w:rFonts w:ascii="Arial" w:hAnsi="Arial"/>
          <w:b/>
          <w:sz w:val="28"/>
          <w:szCs w:val="28"/>
        </w:rPr>
        <w:t>Student Recruitment</w:t>
      </w:r>
      <w:r w:rsidRPr="00FD7F6E">
        <w:rPr>
          <w:rFonts w:ascii="Arial" w:hAnsi="Arial"/>
          <w:b/>
          <w:sz w:val="28"/>
          <w:szCs w:val="28"/>
        </w:rPr>
        <w:t xml:space="preserve"> </w:t>
      </w:r>
      <w:r w:rsidR="00EC1659">
        <w:rPr>
          <w:rFonts w:ascii="Arial" w:hAnsi="Arial"/>
          <w:b/>
          <w:sz w:val="28"/>
          <w:szCs w:val="28"/>
        </w:rPr>
        <w:t>Coordinator</w:t>
      </w:r>
      <w:r w:rsidR="005C1234">
        <w:rPr>
          <w:rFonts w:ascii="Arial" w:hAnsi="Arial"/>
          <w:b/>
          <w:sz w:val="28"/>
          <w:szCs w:val="28"/>
        </w:rPr>
        <w:tab/>
        <w:t xml:space="preserve"> </w:t>
      </w:r>
      <w:r>
        <w:rPr>
          <w:rFonts w:ascii="Arial" w:hAnsi="Arial"/>
          <w:b/>
          <w:sz w:val="28"/>
          <w:szCs w:val="28"/>
        </w:rPr>
        <w:t xml:space="preserve">Grade </w:t>
      </w:r>
      <w:r w:rsidR="005C1234">
        <w:rPr>
          <w:rFonts w:ascii="Arial" w:hAnsi="Arial"/>
          <w:b/>
          <w:sz w:val="28"/>
          <w:szCs w:val="28"/>
        </w:rPr>
        <w:t>4</w:t>
      </w:r>
    </w:p>
    <w:p w14:paraId="39540BF3" w14:textId="77777777" w:rsidR="004B7B34" w:rsidRDefault="004B7B34">
      <w:pPr>
        <w:rPr>
          <w:rFonts w:ascii="Arial" w:hAnsi="Arial" w:cs="Arial"/>
          <w:sz w:val="20"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7E1B5A" w:rsidRPr="007E1B5A" w14:paraId="0F44B1EB" w14:textId="77777777" w:rsidTr="009C42B7">
        <w:tc>
          <w:tcPr>
            <w:tcW w:w="9923" w:type="dxa"/>
            <w:gridSpan w:val="2"/>
            <w:shd w:val="clear" w:color="auto" w:fill="000000" w:themeFill="text1"/>
          </w:tcPr>
          <w:p w14:paraId="685B3D1F" w14:textId="77777777" w:rsidR="007E1B5A" w:rsidRPr="007E1B5A" w:rsidRDefault="007E1B5A" w:rsidP="00E35F94">
            <w:pPr>
              <w:rPr>
                <w:rFonts w:ascii="Arial" w:hAnsi="Arial" w:cs="Arial"/>
                <w:b/>
                <w:szCs w:val="22"/>
              </w:rPr>
            </w:pPr>
            <w:r w:rsidRPr="007E1B5A">
              <w:rPr>
                <w:rFonts w:ascii="Arial" w:hAnsi="Arial" w:cs="Arial"/>
                <w:b/>
                <w:szCs w:val="22"/>
              </w:rPr>
              <w:t>Person Specification</w:t>
            </w:r>
          </w:p>
        </w:tc>
      </w:tr>
      <w:tr w:rsidR="007E1B5A" w:rsidRPr="007E1B5A" w14:paraId="568E5B85" w14:textId="77777777" w:rsidTr="009C42B7">
        <w:trPr>
          <w:trHeight w:val="3414"/>
        </w:trPr>
        <w:tc>
          <w:tcPr>
            <w:tcW w:w="2240" w:type="dxa"/>
          </w:tcPr>
          <w:p w14:paraId="596A4E2D" w14:textId="77777777" w:rsidR="007E1B5A" w:rsidRPr="007E1B5A" w:rsidRDefault="007E1B5A" w:rsidP="00E35F94">
            <w:pPr>
              <w:rPr>
                <w:rFonts w:ascii="Arial" w:hAnsi="Arial" w:cs="Arial"/>
                <w:szCs w:val="22"/>
              </w:rPr>
            </w:pPr>
            <w:r w:rsidRPr="007E1B5A">
              <w:rPr>
                <w:rFonts w:ascii="Arial" w:hAnsi="Arial" w:cs="Arial"/>
                <w:szCs w:val="22"/>
              </w:rPr>
              <w:t>Specialist Knowledge/ Qualifications</w:t>
            </w:r>
          </w:p>
        </w:tc>
        <w:tc>
          <w:tcPr>
            <w:tcW w:w="7683" w:type="dxa"/>
          </w:tcPr>
          <w:p w14:paraId="5E45EAF7" w14:textId="60E09B63" w:rsidR="007E1B5A" w:rsidRPr="007E1B5A" w:rsidRDefault="007A7E80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Degree or advanced p</w:t>
            </w:r>
            <w:r w:rsidR="007E1B5A" w:rsidRPr="007E1B5A">
              <w:rPr>
                <w:rFonts w:ascii="Arial" w:hAnsi="Arial" w:cs="Arial"/>
                <w:color w:val="000000" w:themeColor="text1"/>
                <w:szCs w:val="22"/>
              </w:rPr>
              <w:t>rofessional qualification or equivalent in marketing or a related discipline.</w:t>
            </w:r>
          </w:p>
          <w:p w14:paraId="2C4DFCBE" w14:textId="19AD7CBC" w:rsidR="007A7E80" w:rsidRPr="009C42B7" w:rsidRDefault="007E1B5A" w:rsidP="007A7E80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Understanding of key issues related to student recruitment and marketing in the higher education sector.</w:t>
            </w:r>
          </w:p>
          <w:p w14:paraId="5480D640" w14:textId="77777777" w:rsidR="007A7E80" w:rsidRPr="00FD7F6E" w:rsidRDefault="007A7E80" w:rsidP="007A7E80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szCs w:val="22"/>
              </w:rPr>
            </w:pPr>
            <w:r w:rsidRPr="00FD7F6E">
              <w:rPr>
                <w:rFonts w:ascii="Arial" w:hAnsi="Arial" w:cs="Arial"/>
                <w:szCs w:val="22"/>
              </w:rPr>
              <w:t>Excellent IT skills particularly to include Outlook, web based content management systems and CRM systems.</w:t>
            </w:r>
          </w:p>
          <w:p w14:paraId="4106E1D7" w14:textId="2556811E" w:rsidR="007A7E80" w:rsidRPr="009C42B7" w:rsidRDefault="007E1B5A" w:rsidP="007A7E80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Knowledge of customer relationship management principles and practices.</w:t>
            </w:r>
          </w:p>
          <w:p w14:paraId="460821D6" w14:textId="309B2939" w:rsidR="007A7E80" w:rsidRPr="009C42B7" w:rsidRDefault="007E1B5A" w:rsidP="007A7E80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Ability to produce engaging and persuasive marketing </w:t>
            </w:r>
            <w:r w:rsidR="007A7E80">
              <w:rPr>
                <w:rFonts w:ascii="Arial" w:hAnsi="Arial" w:cs="Arial"/>
                <w:color w:val="000000" w:themeColor="text1"/>
                <w:szCs w:val="22"/>
              </w:rPr>
              <w:t xml:space="preserve">copy that 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>communicat</w:t>
            </w:r>
            <w:r w:rsidR="007A7E80">
              <w:rPr>
                <w:rFonts w:ascii="Arial" w:hAnsi="Arial" w:cs="Arial"/>
                <w:color w:val="000000" w:themeColor="text1"/>
                <w:szCs w:val="22"/>
              </w:rPr>
              <w:t>es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7A7E80">
              <w:rPr>
                <w:rFonts w:ascii="Arial" w:hAnsi="Arial" w:cs="Arial"/>
                <w:color w:val="000000" w:themeColor="text1"/>
                <w:szCs w:val="22"/>
              </w:rPr>
              <w:t>effectively with multiple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 audiences. </w:t>
            </w:r>
          </w:p>
          <w:p w14:paraId="6706C3D4" w14:textId="4B894AF8" w:rsidR="007A7E80" w:rsidRPr="009C42B7" w:rsidRDefault="007E1B5A" w:rsidP="007A7E80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Ability to </w:t>
            </w:r>
            <w:r w:rsidR="007A7E80">
              <w:rPr>
                <w:rFonts w:ascii="Arial" w:hAnsi="Arial" w:cs="Arial"/>
                <w:color w:val="000000" w:themeColor="text1"/>
                <w:szCs w:val="22"/>
              </w:rPr>
              <w:t xml:space="preserve">interpret and analyse data and complex information sources in </w:t>
            </w:r>
            <w:r w:rsidR="00FF2A13">
              <w:rPr>
                <w:rFonts w:ascii="Arial" w:hAnsi="Arial" w:cs="Arial"/>
                <w:color w:val="000000" w:themeColor="text1"/>
                <w:szCs w:val="22"/>
              </w:rPr>
              <w:t>order</w:t>
            </w:r>
            <w:r w:rsidR="007A7E80">
              <w:rPr>
                <w:rFonts w:ascii="Arial" w:hAnsi="Arial" w:cs="Arial"/>
                <w:color w:val="000000" w:themeColor="text1"/>
                <w:szCs w:val="22"/>
              </w:rPr>
              <w:t xml:space="preserve"> to assess return on investment and produce management reports for a wide variety of audiences.</w:t>
            </w:r>
          </w:p>
          <w:p w14:paraId="3B67D75D" w14:textId="77777777" w:rsid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Ability to contribute to the training of open day staff, in particular student helpers.</w:t>
            </w:r>
          </w:p>
          <w:p w14:paraId="30969901" w14:textId="6FCD6A23" w:rsidR="007A7E80" w:rsidRDefault="007A7E80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Excellent negotiation skills, to influence, persuade and network with colleagues within the College, the wider University and externally.</w:t>
            </w:r>
          </w:p>
          <w:p w14:paraId="04A2045F" w14:textId="77777777" w:rsidR="00D70D77" w:rsidRPr="00D70D77" w:rsidRDefault="00D70D77" w:rsidP="00D70D77">
            <w:pPr>
              <w:ind w:left="46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7E1B5A" w:rsidRPr="007E1B5A" w14:paraId="479D1D7D" w14:textId="77777777" w:rsidTr="009C42B7">
        <w:trPr>
          <w:trHeight w:val="3249"/>
        </w:trPr>
        <w:tc>
          <w:tcPr>
            <w:tcW w:w="2240" w:type="dxa"/>
          </w:tcPr>
          <w:p w14:paraId="2E59E132" w14:textId="2BEBB5A2" w:rsidR="007E1B5A" w:rsidRPr="007E1B5A" w:rsidRDefault="007E1B5A" w:rsidP="00E35F94">
            <w:pPr>
              <w:rPr>
                <w:rFonts w:ascii="Arial" w:hAnsi="Arial" w:cs="Arial"/>
                <w:b/>
                <w:szCs w:val="22"/>
              </w:rPr>
            </w:pPr>
            <w:r w:rsidRPr="007E1B5A">
              <w:rPr>
                <w:rFonts w:ascii="Arial" w:hAnsi="Arial" w:cs="Arial"/>
                <w:szCs w:val="22"/>
              </w:rPr>
              <w:t xml:space="preserve">Relevant Experience </w:t>
            </w:r>
          </w:p>
        </w:tc>
        <w:tc>
          <w:tcPr>
            <w:tcW w:w="7683" w:type="dxa"/>
          </w:tcPr>
          <w:p w14:paraId="492119E0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Experience of working in a marketing or student recruitment related role, particularly within a higher education organisation. </w:t>
            </w:r>
          </w:p>
          <w:p w14:paraId="15EA70A2" w14:textId="6D0DEF12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Experience of </w:t>
            </w:r>
            <w:r w:rsidR="007A7E80">
              <w:rPr>
                <w:rFonts w:ascii="Arial" w:hAnsi="Arial" w:cs="Arial"/>
                <w:color w:val="000000" w:themeColor="text1"/>
                <w:szCs w:val="22"/>
              </w:rPr>
              <w:t>managing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 recruitment events, particularly those that support student recruitment objectives.</w:t>
            </w:r>
          </w:p>
          <w:p w14:paraId="5DEFAA8D" w14:textId="4A9983B8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</w:t>
            </w:r>
            <w:r w:rsidR="006816EF">
              <w:rPr>
                <w:rFonts w:ascii="Arial" w:hAnsi="Arial" w:cs="Arial"/>
                <w:color w:val="000000" w:themeColor="text1"/>
                <w:szCs w:val="22"/>
              </w:rPr>
              <w:t xml:space="preserve"> planning and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 implementing </w:t>
            </w:r>
            <w:r w:rsidR="006816EF">
              <w:rPr>
                <w:rFonts w:ascii="Arial" w:hAnsi="Arial" w:cs="Arial"/>
                <w:color w:val="000000" w:themeColor="text1"/>
                <w:szCs w:val="22"/>
              </w:rPr>
              <w:t xml:space="preserve">marketing 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campaigns </w:t>
            </w:r>
            <w:r w:rsidR="006816EF">
              <w:rPr>
                <w:rFonts w:ascii="Arial" w:hAnsi="Arial" w:cs="Arial"/>
                <w:color w:val="000000" w:themeColor="text1"/>
                <w:szCs w:val="22"/>
              </w:rPr>
              <w:t>that utilise all elements of the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 marketing</w:t>
            </w:r>
            <w:r w:rsidR="006816EF">
              <w:rPr>
                <w:rFonts w:ascii="Arial" w:hAnsi="Arial" w:cs="Arial"/>
                <w:color w:val="000000" w:themeColor="text1"/>
                <w:szCs w:val="22"/>
              </w:rPr>
              <w:t xml:space="preserve"> mix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4E6EC9CD" w14:textId="1D70AA02" w:rsidR="007E1B5A" w:rsidRPr="007E1B5A" w:rsidRDefault="007A7E80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Significant and demonstrable e</w:t>
            </w:r>
            <w:r w:rsidR="007E1B5A" w:rsidRPr="007E1B5A">
              <w:rPr>
                <w:rFonts w:ascii="Arial" w:hAnsi="Arial" w:cs="Arial"/>
                <w:color w:val="000000" w:themeColor="text1"/>
                <w:szCs w:val="22"/>
              </w:rPr>
              <w:t>xperience of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managing</w:t>
            </w:r>
            <w:r w:rsidR="007E1B5A"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 projects of a concurrent and overlapping nature, to deadline and within budget.</w:t>
            </w:r>
          </w:p>
          <w:p w14:paraId="0B408A81" w14:textId="6F4C5141" w:rsid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Experience of using </w:t>
            </w:r>
            <w:r w:rsidR="006816EF">
              <w:rPr>
                <w:rFonts w:ascii="Arial" w:hAnsi="Arial" w:cs="Arial"/>
                <w:color w:val="000000" w:themeColor="text1"/>
                <w:szCs w:val="22"/>
              </w:rPr>
              <w:t xml:space="preserve">a wide range of </w:t>
            </w:r>
            <w:r w:rsidRPr="007E1B5A">
              <w:rPr>
                <w:rFonts w:ascii="Arial" w:hAnsi="Arial" w:cs="Arial"/>
                <w:color w:val="000000" w:themeColor="text1"/>
                <w:szCs w:val="22"/>
              </w:rPr>
              <w:t>digital channels to deliver effective advertising campaigns.</w:t>
            </w:r>
          </w:p>
          <w:p w14:paraId="4932DD3C" w14:textId="77777777" w:rsidR="006816EF" w:rsidRDefault="006816EF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Experience of conducting marketing research to gather intelligence, analyse data and inform marketing planning activities.</w:t>
            </w:r>
          </w:p>
          <w:p w14:paraId="26E8AF63" w14:textId="0048F999" w:rsidR="00D70D77" w:rsidRPr="009C42B7" w:rsidRDefault="007E1B5A" w:rsidP="009C42B7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supervising and coordinating staff.</w:t>
            </w:r>
          </w:p>
        </w:tc>
      </w:tr>
      <w:tr w:rsidR="007E1B5A" w:rsidRPr="007E1B5A" w14:paraId="65C674B8" w14:textId="77777777" w:rsidTr="009C42B7">
        <w:trPr>
          <w:trHeight w:val="418"/>
        </w:trPr>
        <w:tc>
          <w:tcPr>
            <w:tcW w:w="2240" w:type="dxa"/>
            <w:vAlign w:val="center"/>
          </w:tcPr>
          <w:p w14:paraId="71812AE9" w14:textId="17567310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Communication Skills</w:t>
            </w:r>
          </w:p>
        </w:tc>
        <w:tc>
          <w:tcPr>
            <w:tcW w:w="7683" w:type="dxa"/>
            <w:vAlign w:val="center"/>
          </w:tcPr>
          <w:p w14:paraId="1485A957" w14:textId="77777777" w:rsid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Communicates effectively orally, in writing and/or using visual media.</w:t>
            </w:r>
          </w:p>
          <w:p w14:paraId="03581912" w14:textId="77777777" w:rsidR="00D70D77" w:rsidRPr="00D70D77" w:rsidRDefault="00D70D77" w:rsidP="00D70D77">
            <w:pPr>
              <w:ind w:left="46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70D77" w:rsidRPr="007E1B5A" w14:paraId="473C2AF8" w14:textId="77777777" w:rsidTr="009C42B7">
        <w:trPr>
          <w:trHeight w:val="418"/>
        </w:trPr>
        <w:tc>
          <w:tcPr>
            <w:tcW w:w="2240" w:type="dxa"/>
            <w:vAlign w:val="center"/>
          </w:tcPr>
          <w:p w14:paraId="730C3850" w14:textId="3F96F7DF" w:rsidR="00D70D77" w:rsidRPr="00D70D77" w:rsidRDefault="00D70D77" w:rsidP="00D70D77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D70D77">
              <w:rPr>
                <w:rFonts w:ascii="Arial" w:hAnsi="Arial" w:cs="Arial"/>
                <w:szCs w:val="22"/>
              </w:rPr>
              <w:t>Leadership and Management</w:t>
            </w:r>
          </w:p>
        </w:tc>
        <w:tc>
          <w:tcPr>
            <w:tcW w:w="7683" w:type="dxa"/>
            <w:vAlign w:val="center"/>
          </w:tcPr>
          <w:p w14:paraId="36D93E6A" w14:textId="2099D40A" w:rsidR="00D70D77" w:rsidRPr="00D70D77" w:rsidRDefault="006816EF" w:rsidP="009C42B7">
            <w:pPr>
              <w:pStyle w:val="ListParagraph"/>
              <w:numPr>
                <w:ilvl w:val="0"/>
                <w:numId w:val="27"/>
              </w:numPr>
              <w:ind w:left="341"/>
            </w:pPr>
            <w:r w:rsidRPr="006816EF">
              <w:t>Motivates and leads a team effectively, setting clear objectives to manage performance.</w:t>
            </w:r>
          </w:p>
        </w:tc>
      </w:tr>
      <w:tr w:rsidR="007E1B5A" w:rsidRPr="007E1B5A" w14:paraId="651FADC4" w14:textId="77777777" w:rsidTr="009C42B7">
        <w:tc>
          <w:tcPr>
            <w:tcW w:w="2240" w:type="dxa"/>
            <w:vAlign w:val="center"/>
          </w:tcPr>
          <w:p w14:paraId="2FF23299" w14:textId="77777777" w:rsidR="007E1B5A" w:rsidRDefault="007E1B5A" w:rsidP="00E35F9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Planning and Managing Resources</w:t>
            </w:r>
          </w:p>
          <w:p w14:paraId="7809C331" w14:textId="77777777" w:rsidR="00D70D77" w:rsidRPr="007E1B5A" w:rsidRDefault="00D70D77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7683" w:type="dxa"/>
            <w:vAlign w:val="center"/>
          </w:tcPr>
          <w:p w14:paraId="29921AED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Plans, prioritises and organises work to achieve objectives on time.</w:t>
            </w:r>
          </w:p>
        </w:tc>
      </w:tr>
      <w:tr w:rsidR="007E1B5A" w:rsidRPr="007E1B5A" w14:paraId="6D20EED3" w14:textId="77777777" w:rsidTr="009C42B7">
        <w:trPr>
          <w:trHeight w:val="750"/>
        </w:trPr>
        <w:tc>
          <w:tcPr>
            <w:tcW w:w="2240" w:type="dxa"/>
            <w:vAlign w:val="center"/>
          </w:tcPr>
          <w:p w14:paraId="0B5A36D6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Teamwork</w:t>
            </w:r>
          </w:p>
        </w:tc>
        <w:tc>
          <w:tcPr>
            <w:tcW w:w="7683" w:type="dxa"/>
            <w:vAlign w:val="center"/>
          </w:tcPr>
          <w:p w14:paraId="1EF6622C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Works collaboratively in a team and where appropriate across or with different professional groups.</w:t>
            </w:r>
          </w:p>
        </w:tc>
      </w:tr>
      <w:tr w:rsidR="007E1B5A" w:rsidRPr="007E1B5A" w14:paraId="6F9DF01E" w14:textId="77777777" w:rsidTr="009C42B7">
        <w:tc>
          <w:tcPr>
            <w:tcW w:w="2240" w:type="dxa"/>
            <w:vAlign w:val="center"/>
          </w:tcPr>
          <w:p w14:paraId="798BE2E2" w14:textId="77777777" w:rsidR="007E1B5A" w:rsidRDefault="007E1B5A" w:rsidP="00E35F9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Student Experience or Customer Service</w:t>
            </w:r>
          </w:p>
          <w:p w14:paraId="23770160" w14:textId="77777777" w:rsidR="00D70D77" w:rsidRPr="007E1B5A" w:rsidRDefault="00D70D77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7683" w:type="dxa"/>
            <w:vAlign w:val="center"/>
          </w:tcPr>
          <w:p w14:paraId="277C88EF" w14:textId="4868482F" w:rsidR="007E1B5A" w:rsidRPr="009C42B7" w:rsidRDefault="006816EF" w:rsidP="006816EF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/>
                <w:sz w:val="24"/>
              </w:rPr>
            </w:pPr>
            <w:r w:rsidRPr="009C42B7">
              <w:rPr>
                <w:rFonts w:ascii="Arial" w:hAnsi="Arial" w:cs="Arial"/>
                <w:color w:val="000000" w:themeColor="text1"/>
                <w:szCs w:val="22"/>
              </w:rPr>
              <w:t xml:space="preserve">Builds and </w:t>
            </w:r>
            <w:r w:rsidR="00FF2A13" w:rsidRPr="00FF2A13">
              <w:rPr>
                <w:rFonts w:ascii="Arial" w:hAnsi="Arial" w:cs="Arial"/>
                <w:color w:val="000000" w:themeColor="text1"/>
                <w:szCs w:val="22"/>
              </w:rPr>
              <w:t>maintains positive</w:t>
            </w:r>
            <w:r w:rsidRPr="009C42B7">
              <w:rPr>
                <w:rFonts w:ascii="Arial" w:hAnsi="Arial" w:cs="Arial"/>
                <w:color w:val="000000" w:themeColor="text1"/>
                <w:szCs w:val="22"/>
              </w:rPr>
              <w:t xml:space="preserve"> relationships with students or customers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</w:tr>
      <w:tr w:rsidR="007E1B5A" w:rsidRPr="007E1B5A" w14:paraId="6C8CDB50" w14:textId="77777777" w:rsidTr="009C42B7">
        <w:tc>
          <w:tcPr>
            <w:tcW w:w="2240" w:type="dxa"/>
            <w:vAlign w:val="center"/>
          </w:tcPr>
          <w:p w14:paraId="1911B10D" w14:textId="63A60562" w:rsidR="00D70D77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Creativity, Innovation and Problem Solving </w:t>
            </w:r>
          </w:p>
        </w:tc>
        <w:tc>
          <w:tcPr>
            <w:tcW w:w="7683" w:type="dxa"/>
            <w:vAlign w:val="center"/>
          </w:tcPr>
          <w:p w14:paraId="56C206D4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Uses initiative or creativity to resolve problems.</w:t>
            </w:r>
          </w:p>
        </w:tc>
      </w:tr>
    </w:tbl>
    <w:p w14:paraId="72C68645" w14:textId="77777777" w:rsidR="007E1B5A" w:rsidRDefault="007E1B5A">
      <w:pPr>
        <w:rPr>
          <w:rFonts w:ascii="Arial" w:hAnsi="Arial" w:cs="Arial"/>
          <w:sz w:val="20"/>
        </w:rPr>
      </w:pPr>
    </w:p>
    <w:p w14:paraId="264120B5" w14:textId="67360D4D" w:rsidR="009C42B7" w:rsidRDefault="009C42B7" w:rsidP="009C42B7">
      <w:pPr>
        <w:spacing w:before="120"/>
        <w:jc w:val="both"/>
      </w:pPr>
      <w:r>
        <w:tab/>
        <w:t>HERA – 000883</w:t>
      </w:r>
    </w:p>
    <w:p w14:paraId="4519E8CC" w14:textId="73295BB6" w:rsidR="004B7B34" w:rsidRDefault="009C42B7">
      <w:pPr>
        <w:rPr>
          <w:rFonts w:ascii="Arial" w:hAnsi="Arial" w:cs="Arial"/>
          <w:sz w:val="20"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>
        <w:rPr>
          <w:rFonts w:ascii="Calibri" w:hAnsi="Calibri" w:cs="Arial"/>
          <w:bCs/>
        </w:rPr>
        <w:t xml:space="preserve">, </w:t>
      </w:r>
      <w:r w:rsidRPr="00431B5B">
        <w:rPr>
          <w:rFonts w:ascii="Calibri" w:hAnsi="Calibri" w:cs="Arial"/>
          <w:b/>
          <w:bCs/>
        </w:rPr>
        <w:t>which are all essential unless marked otherwise</w:t>
      </w:r>
      <w:r>
        <w:rPr>
          <w:rFonts w:ascii="Calibri" w:hAnsi="Calibri" w:cs="Arial"/>
          <w:bCs/>
        </w:rPr>
        <w:t xml:space="preserve">. </w:t>
      </w:r>
      <w:r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sectPr w:rsidR="004B7B34" w:rsidSect="009C42B7">
      <w:headerReference w:type="default" r:id="rId8"/>
      <w:pgSz w:w="11906" w:h="16838"/>
      <w:pgMar w:top="1418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2F346" w14:textId="77777777" w:rsidR="00497AEC" w:rsidRDefault="00497AEC">
      <w:r>
        <w:separator/>
      </w:r>
    </w:p>
  </w:endnote>
  <w:endnote w:type="continuationSeparator" w:id="0">
    <w:p w14:paraId="7CA9A57F" w14:textId="77777777" w:rsidR="00497AEC" w:rsidRDefault="0049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D9211" w14:textId="77777777" w:rsidR="00497AEC" w:rsidRDefault="00497AEC">
      <w:r>
        <w:separator/>
      </w:r>
    </w:p>
  </w:footnote>
  <w:footnote w:type="continuationSeparator" w:id="0">
    <w:p w14:paraId="03F5D384" w14:textId="77777777" w:rsidR="00497AEC" w:rsidRDefault="0049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4CAD" w14:textId="77777777" w:rsidR="00E45A92" w:rsidRPr="00576313" w:rsidRDefault="00E45A92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86947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44D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6A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08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20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0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89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1AA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A3B1B"/>
    <w:multiLevelType w:val="hybridMultilevel"/>
    <w:tmpl w:val="6B8A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44D02F55"/>
    <w:multiLevelType w:val="hybridMultilevel"/>
    <w:tmpl w:val="13EA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F200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3FC0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0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0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CC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A5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4F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2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85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D011E"/>
    <w:multiLevelType w:val="hybridMultilevel"/>
    <w:tmpl w:val="2B76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588C"/>
    <w:multiLevelType w:val="hybridMultilevel"/>
    <w:tmpl w:val="0B8A1394"/>
    <w:lvl w:ilvl="0" w:tplc="C8A87850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D0E5E"/>
    <w:multiLevelType w:val="hybridMultilevel"/>
    <w:tmpl w:val="D19609CC"/>
    <w:lvl w:ilvl="0" w:tplc="C8A87850">
      <w:start w:val="20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25D6F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FAE2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EA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E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A8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09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60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27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E6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345CF"/>
    <w:multiLevelType w:val="hybridMultilevel"/>
    <w:tmpl w:val="AA9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0B3E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DE65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6E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8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6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C82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E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8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0A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E27C4"/>
    <w:multiLevelType w:val="hybridMultilevel"/>
    <w:tmpl w:val="8E3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2"/>
  </w:num>
  <w:num w:numId="4">
    <w:abstractNumId w:val="15"/>
  </w:num>
  <w:num w:numId="5">
    <w:abstractNumId w:val="10"/>
  </w:num>
  <w:num w:numId="6">
    <w:abstractNumId w:val="24"/>
  </w:num>
  <w:num w:numId="7">
    <w:abstractNumId w:val="13"/>
  </w:num>
  <w:num w:numId="8">
    <w:abstractNumId w:val="8"/>
  </w:num>
  <w:num w:numId="9">
    <w:abstractNumId w:val="22"/>
  </w:num>
  <w:num w:numId="10">
    <w:abstractNumId w:val="26"/>
  </w:num>
  <w:num w:numId="11">
    <w:abstractNumId w:val="14"/>
  </w:num>
  <w:num w:numId="12">
    <w:abstractNumId w:val="19"/>
  </w:num>
  <w:num w:numId="13">
    <w:abstractNumId w:val="4"/>
  </w:num>
  <w:num w:numId="14">
    <w:abstractNumId w:val="21"/>
  </w:num>
  <w:num w:numId="15">
    <w:abstractNumId w:val="20"/>
  </w:num>
  <w:num w:numId="16">
    <w:abstractNumId w:val="25"/>
  </w:num>
  <w:num w:numId="17">
    <w:abstractNumId w:val="29"/>
  </w:num>
  <w:num w:numId="18">
    <w:abstractNumId w:val="9"/>
  </w:num>
  <w:num w:numId="19">
    <w:abstractNumId w:val="1"/>
  </w:num>
  <w:num w:numId="20">
    <w:abstractNumId w:val="12"/>
  </w:num>
  <w:num w:numId="21">
    <w:abstractNumId w:val="27"/>
  </w:num>
  <w:num w:numId="22">
    <w:abstractNumId w:val="5"/>
  </w:num>
  <w:num w:numId="23">
    <w:abstractNumId w:val="3"/>
  </w:num>
  <w:num w:numId="24">
    <w:abstractNumId w:val="23"/>
  </w:num>
  <w:num w:numId="25">
    <w:abstractNumId w:val="7"/>
  </w:num>
  <w:num w:numId="26">
    <w:abstractNumId w:val="6"/>
  </w:num>
  <w:num w:numId="27">
    <w:abstractNumId w:val="17"/>
  </w:num>
  <w:num w:numId="28">
    <w:abstractNumId w:val="18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36835"/>
    <w:rsid w:val="00037C47"/>
    <w:rsid w:val="000407F4"/>
    <w:rsid w:val="000423A1"/>
    <w:rsid w:val="00051FEB"/>
    <w:rsid w:val="00056FFA"/>
    <w:rsid w:val="00065EBD"/>
    <w:rsid w:val="000940A9"/>
    <w:rsid w:val="000B6259"/>
    <w:rsid w:val="000C19D9"/>
    <w:rsid w:val="000D09F2"/>
    <w:rsid w:val="000D129B"/>
    <w:rsid w:val="000E1C67"/>
    <w:rsid w:val="000E792F"/>
    <w:rsid w:val="00101830"/>
    <w:rsid w:val="00143C49"/>
    <w:rsid w:val="00182034"/>
    <w:rsid w:val="001A08F3"/>
    <w:rsid w:val="0020170B"/>
    <w:rsid w:val="002351FE"/>
    <w:rsid w:val="00256F2F"/>
    <w:rsid w:val="002A6103"/>
    <w:rsid w:val="002B48DF"/>
    <w:rsid w:val="002B7662"/>
    <w:rsid w:val="002C280E"/>
    <w:rsid w:val="002C793B"/>
    <w:rsid w:val="002E5ABD"/>
    <w:rsid w:val="003122C5"/>
    <w:rsid w:val="00317BFE"/>
    <w:rsid w:val="003210C5"/>
    <w:rsid w:val="0032516F"/>
    <w:rsid w:val="003807E7"/>
    <w:rsid w:val="00394EC8"/>
    <w:rsid w:val="003B2633"/>
    <w:rsid w:val="003C2E1D"/>
    <w:rsid w:val="003C47B6"/>
    <w:rsid w:val="003D14F7"/>
    <w:rsid w:val="003D1C6D"/>
    <w:rsid w:val="003D2E0C"/>
    <w:rsid w:val="003E6F4C"/>
    <w:rsid w:val="004039A6"/>
    <w:rsid w:val="00461E60"/>
    <w:rsid w:val="00465CD6"/>
    <w:rsid w:val="004731C5"/>
    <w:rsid w:val="004816C6"/>
    <w:rsid w:val="004879C9"/>
    <w:rsid w:val="00497AEC"/>
    <w:rsid w:val="004B7B34"/>
    <w:rsid w:val="004E3268"/>
    <w:rsid w:val="00521299"/>
    <w:rsid w:val="00533528"/>
    <w:rsid w:val="00562659"/>
    <w:rsid w:val="00572E64"/>
    <w:rsid w:val="00576313"/>
    <w:rsid w:val="00594C01"/>
    <w:rsid w:val="005B186A"/>
    <w:rsid w:val="005C1234"/>
    <w:rsid w:val="005C33ED"/>
    <w:rsid w:val="005E7B39"/>
    <w:rsid w:val="005F75A3"/>
    <w:rsid w:val="005F772D"/>
    <w:rsid w:val="006324CD"/>
    <w:rsid w:val="00633141"/>
    <w:rsid w:val="00635CC0"/>
    <w:rsid w:val="006634E6"/>
    <w:rsid w:val="006816EF"/>
    <w:rsid w:val="006952FA"/>
    <w:rsid w:val="006B53B1"/>
    <w:rsid w:val="006C52F5"/>
    <w:rsid w:val="006E5BEA"/>
    <w:rsid w:val="007315B3"/>
    <w:rsid w:val="00767C89"/>
    <w:rsid w:val="007858C1"/>
    <w:rsid w:val="007A5529"/>
    <w:rsid w:val="007A7E80"/>
    <w:rsid w:val="007D6F49"/>
    <w:rsid w:val="007E1A3C"/>
    <w:rsid w:val="007E1B5A"/>
    <w:rsid w:val="007F3339"/>
    <w:rsid w:val="00860F63"/>
    <w:rsid w:val="00864E7B"/>
    <w:rsid w:val="008A5860"/>
    <w:rsid w:val="008D390B"/>
    <w:rsid w:val="008D427D"/>
    <w:rsid w:val="008D5A21"/>
    <w:rsid w:val="008E1372"/>
    <w:rsid w:val="008F6039"/>
    <w:rsid w:val="009357D5"/>
    <w:rsid w:val="009438D6"/>
    <w:rsid w:val="00974651"/>
    <w:rsid w:val="0097624E"/>
    <w:rsid w:val="00997DB7"/>
    <w:rsid w:val="009C42B7"/>
    <w:rsid w:val="009D1668"/>
    <w:rsid w:val="009F62FB"/>
    <w:rsid w:val="00A15DD8"/>
    <w:rsid w:val="00A33E98"/>
    <w:rsid w:val="00A514C8"/>
    <w:rsid w:val="00A54321"/>
    <w:rsid w:val="00A574EF"/>
    <w:rsid w:val="00A704B4"/>
    <w:rsid w:val="00A93F1F"/>
    <w:rsid w:val="00AB73F6"/>
    <w:rsid w:val="00AC1D76"/>
    <w:rsid w:val="00AD202D"/>
    <w:rsid w:val="00AF2609"/>
    <w:rsid w:val="00AF6C2A"/>
    <w:rsid w:val="00B4142B"/>
    <w:rsid w:val="00B67FB4"/>
    <w:rsid w:val="00B72307"/>
    <w:rsid w:val="00B87E25"/>
    <w:rsid w:val="00BC623B"/>
    <w:rsid w:val="00C6308D"/>
    <w:rsid w:val="00C833FC"/>
    <w:rsid w:val="00CA73F2"/>
    <w:rsid w:val="00CC0E09"/>
    <w:rsid w:val="00CC361D"/>
    <w:rsid w:val="00D1149C"/>
    <w:rsid w:val="00D14CD1"/>
    <w:rsid w:val="00D65F90"/>
    <w:rsid w:val="00D70D77"/>
    <w:rsid w:val="00D87564"/>
    <w:rsid w:val="00D976B3"/>
    <w:rsid w:val="00DA460E"/>
    <w:rsid w:val="00DA746B"/>
    <w:rsid w:val="00DB6F06"/>
    <w:rsid w:val="00DE6256"/>
    <w:rsid w:val="00E22A89"/>
    <w:rsid w:val="00E40D53"/>
    <w:rsid w:val="00E45A92"/>
    <w:rsid w:val="00E81609"/>
    <w:rsid w:val="00E94193"/>
    <w:rsid w:val="00EA0F36"/>
    <w:rsid w:val="00EC1659"/>
    <w:rsid w:val="00EE1899"/>
    <w:rsid w:val="00EF4A9E"/>
    <w:rsid w:val="00F337F0"/>
    <w:rsid w:val="00F37226"/>
    <w:rsid w:val="00F419E5"/>
    <w:rsid w:val="00F82C5D"/>
    <w:rsid w:val="00FC7A26"/>
    <w:rsid w:val="00FD1A8F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3D80B"/>
  <w15:docId w15:val="{CBDF156D-0BEE-4067-8F09-FB4D873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7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427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8D427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D427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8D427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27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8D427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8D427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8D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8D427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8D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8D427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table" w:styleId="TableGrid">
    <w:name w:val="Table Grid"/>
    <w:basedOn w:val="TableNormal"/>
    <w:uiPriority w:val="59"/>
    <w:rsid w:val="004B7B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F3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8590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Zara Greisman</cp:lastModifiedBy>
  <cp:revision>2</cp:revision>
  <cp:lastPrinted>2016-09-05T09:33:00Z</cp:lastPrinted>
  <dcterms:created xsi:type="dcterms:W3CDTF">2018-06-27T14:00:00Z</dcterms:created>
  <dcterms:modified xsi:type="dcterms:W3CDTF">2018-06-27T14:00:00Z</dcterms:modified>
</cp:coreProperties>
</file>