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476" w14:textId="77777777" w:rsidR="00361056" w:rsidRDefault="00CC6031">
      <w:pPr>
        <w:ind w:left="-180"/>
        <w:rPr>
          <w:rFonts w:ascii="Arial" w:hAnsi="Arial"/>
          <w:noProof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61E78CE" wp14:editId="1A0D59F8">
            <wp:simplePos x="0" y="0"/>
            <wp:positionH relativeFrom="column">
              <wp:posOffset>316230</wp:posOffset>
            </wp:positionH>
            <wp:positionV relativeFrom="paragraph">
              <wp:posOffset>-768350</wp:posOffset>
            </wp:positionV>
            <wp:extent cx="1836420" cy="648970"/>
            <wp:effectExtent l="19050" t="0" r="0" b="0"/>
            <wp:wrapNone/>
            <wp:docPr id="1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361056" w14:paraId="43B10E97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13872C09" w14:textId="77777777" w:rsidR="00361056" w:rsidRDefault="00361056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361056" w14:paraId="02C5CA4A" w14:textId="7777777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7A898EF8" w14:textId="3EDC008F" w:rsidR="00361056" w:rsidRPr="002D7D2C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56811">
              <w:rPr>
                <w:rFonts w:ascii="Arial" w:hAnsi="Arial"/>
                <w:sz w:val="20"/>
                <w:szCs w:val="20"/>
              </w:rPr>
              <w:t>Subject</w:t>
            </w:r>
            <w:r w:rsidR="002F37AD">
              <w:rPr>
                <w:rFonts w:ascii="Arial" w:hAnsi="Arial"/>
                <w:sz w:val="20"/>
                <w:szCs w:val="20"/>
              </w:rPr>
              <w:t xml:space="preserve"> </w:t>
            </w:r>
            <w:r w:rsidR="00F15ED7">
              <w:rPr>
                <w:rFonts w:ascii="Arial" w:hAnsi="Arial"/>
                <w:sz w:val="20"/>
                <w:szCs w:val="20"/>
              </w:rPr>
              <w:t>Leader</w:t>
            </w:r>
            <w:r w:rsidRPr="006A1609">
              <w:rPr>
                <w:rFonts w:ascii="Arial" w:hAnsi="Arial"/>
                <w:sz w:val="20"/>
                <w:szCs w:val="20"/>
              </w:rPr>
              <w:t xml:space="preserve"> in </w:t>
            </w:r>
            <w:r w:rsidR="004B2AC9">
              <w:rPr>
                <w:rFonts w:ascii="Arial" w:hAnsi="Arial" w:cs="Arial"/>
                <w:sz w:val="20"/>
                <w:szCs w:val="20"/>
              </w:rPr>
              <w:t>Business Strategy</w:t>
            </w:r>
          </w:p>
          <w:p w14:paraId="0A3EB150" w14:textId="77777777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22250F39" w14:textId="756321B7" w:rsidR="00361056" w:rsidRPr="002D7D2C" w:rsidRDefault="00361056" w:rsidP="002F37AD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2F37AD">
              <w:rPr>
                <w:rFonts w:ascii="Arial" w:hAnsi="Arial" w:cs="Arial"/>
                <w:sz w:val="20"/>
                <w:szCs w:val="20"/>
              </w:rPr>
              <w:t>Programme Director Fashion Management</w:t>
            </w:r>
          </w:p>
        </w:tc>
      </w:tr>
      <w:tr w:rsidR="00361056" w14:paraId="43530BDA" w14:textId="7777777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78EE1E6B" w14:textId="77777777" w:rsidR="00361056" w:rsidRPr="002D7D2C" w:rsidRDefault="00361056" w:rsidP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1EF26" w14:textId="217C1C72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2F37AD">
              <w:rPr>
                <w:rFonts w:ascii="Arial" w:hAnsi="Arial"/>
                <w:sz w:val="20"/>
                <w:szCs w:val="20"/>
              </w:rPr>
              <w:t xml:space="preserve"> 1.0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5107485" w14:textId="77777777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Pr="002D7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F5B8E" w:rsidRPr="003F5B8E">
              <w:rPr>
                <w:rFonts w:ascii="Arial" w:hAnsi="Arial"/>
                <w:sz w:val="20"/>
                <w:szCs w:val="20"/>
              </w:rPr>
              <w:t>AYR</w:t>
            </w:r>
          </w:p>
        </w:tc>
      </w:tr>
      <w:tr w:rsidR="00361056" w14:paraId="675B9E26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FA757F" w14:textId="1E99042D" w:rsidR="00361056" w:rsidRPr="002D7D2C" w:rsidRDefault="00361056" w:rsidP="000035FC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3F5B8E" w:rsidRPr="000035FC">
              <w:rPr>
                <w:rFonts w:ascii="Arial" w:hAnsi="Arial"/>
                <w:sz w:val="20"/>
                <w:szCs w:val="20"/>
              </w:rPr>
              <w:t>£</w:t>
            </w:r>
            <w:r w:rsidR="000035FC" w:rsidRPr="000035FC">
              <w:rPr>
                <w:rFonts w:ascii="Arial" w:hAnsi="Arial"/>
                <w:sz w:val="20"/>
                <w:szCs w:val="20"/>
              </w:rPr>
              <w:t xml:space="preserve">44,708 </w:t>
            </w:r>
            <w:r w:rsidR="003F5B8E" w:rsidRPr="000035FC">
              <w:rPr>
                <w:rFonts w:ascii="Arial" w:hAnsi="Arial"/>
                <w:sz w:val="20"/>
                <w:szCs w:val="20"/>
              </w:rPr>
              <w:t>-</w:t>
            </w:r>
            <w:r w:rsidR="000035FC" w:rsidRPr="000035FC"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 w:rsidRPr="000035FC">
              <w:rPr>
                <w:rFonts w:ascii="Arial" w:hAnsi="Arial"/>
                <w:sz w:val="20"/>
                <w:szCs w:val="20"/>
              </w:rPr>
              <w:t>£</w:t>
            </w:r>
            <w:r w:rsidR="000035FC" w:rsidRPr="000035FC">
              <w:rPr>
                <w:rFonts w:ascii="Arial" w:hAnsi="Arial"/>
                <w:sz w:val="20"/>
                <w:szCs w:val="20"/>
              </w:rPr>
              <w:t>53,865</w:t>
            </w:r>
            <w:r w:rsidR="004A4565" w:rsidRPr="000035FC">
              <w:rPr>
                <w:rFonts w:ascii="Arial" w:hAnsi="Arial"/>
                <w:sz w:val="20"/>
                <w:szCs w:val="20"/>
              </w:rPr>
              <w:t xml:space="preserve"> pa</w:t>
            </w:r>
            <w:r w:rsidR="0072409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7A7809" w14:textId="3080D87C" w:rsidR="00361056" w:rsidRPr="002D7D2C" w:rsidRDefault="00361056" w:rsidP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F37AD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361056" w14:paraId="0EDE197E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40CF1071" w14:textId="21A5DDE4" w:rsidR="00361056" w:rsidRPr="002D7D2C" w:rsidRDefault="00361056" w:rsidP="002168AD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>
              <w:rPr>
                <w:rFonts w:ascii="Arial" w:hAnsi="Arial"/>
                <w:sz w:val="20"/>
                <w:szCs w:val="20"/>
              </w:rPr>
              <w:t>London College of Fashion/</w:t>
            </w:r>
            <w:r w:rsidR="002168AD">
              <w:rPr>
                <w:rFonts w:ascii="Arial" w:hAnsi="Arial"/>
                <w:sz w:val="20"/>
                <w:szCs w:val="20"/>
              </w:rPr>
              <w:t xml:space="preserve"> Fashion Business Schoo</w:t>
            </w:r>
            <w:r w:rsidR="00D9004E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2B68375" w14:textId="77777777" w:rsidR="00361056" w:rsidRPr="002D7D2C" w:rsidRDefault="00361056" w:rsidP="003F5B8E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>
              <w:rPr>
                <w:rFonts w:ascii="Arial" w:hAnsi="Arial"/>
                <w:sz w:val="20"/>
                <w:szCs w:val="20"/>
              </w:rPr>
              <w:t>272 High Holborn, London, WC1V 7EY</w:t>
            </w:r>
          </w:p>
        </w:tc>
      </w:tr>
      <w:tr w:rsidR="00361056" w14:paraId="25B63DFE" w14:textId="77777777">
        <w:tc>
          <w:tcPr>
            <w:tcW w:w="10440" w:type="dxa"/>
            <w:gridSpan w:val="4"/>
          </w:tcPr>
          <w:p w14:paraId="79849F28" w14:textId="77777777" w:rsidR="00361056" w:rsidRPr="002D7D2C" w:rsidRDefault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FDABE0F" w14:textId="77777777" w:rsidR="00361056" w:rsidRPr="002D7D2C" w:rsidRDefault="00361056">
            <w:pPr>
              <w:rPr>
                <w:rFonts w:ascii="Arial" w:hAnsi="Arial"/>
                <w:sz w:val="20"/>
                <w:szCs w:val="20"/>
              </w:rPr>
            </w:pPr>
          </w:p>
          <w:p w14:paraId="35BA4175" w14:textId="3D602FDF" w:rsidR="00361056" w:rsidRDefault="002F37AD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lead curriculum development, unit management, research and</w:t>
            </w:r>
            <w:r w:rsidR="00361056" w:rsidRPr="006A1609">
              <w:rPr>
                <w:rFonts w:ascii="Arial" w:hAnsi="Arial" w:cs="Arial"/>
                <w:sz w:val="20"/>
                <w:szCs w:val="20"/>
              </w:rPr>
              <w:t xml:space="preserve"> teaching</w:t>
            </w:r>
            <w:r w:rsidR="00AC7A7E">
              <w:rPr>
                <w:rFonts w:ascii="Arial" w:hAnsi="Arial" w:cs="Arial"/>
                <w:sz w:val="20"/>
                <w:szCs w:val="20"/>
              </w:rPr>
              <w:t xml:space="preserve"> delivery in </w:t>
            </w:r>
            <w:r w:rsidR="00B65634">
              <w:rPr>
                <w:rFonts w:ascii="Arial" w:hAnsi="Arial" w:cs="Arial"/>
                <w:sz w:val="20"/>
                <w:szCs w:val="20"/>
              </w:rPr>
              <w:t xml:space="preserve">business strategy and </w:t>
            </w:r>
            <w:r w:rsidR="000B6463">
              <w:rPr>
                <w:rFonts w:ascii="Arial" w:hAnsi="Arial" w:cs="Arial"/>
                <w:sz w:val="20"/>
                <w:szCs w:val="20"/>
              </w:rPr>
              <w:t>related discipline</w:t>
            </w:r>
            <w:r w:rsidR="00B65634">
              <w:rPr>
                <w:rFonts w:ascii="Arial" w:hAnsi="Arial" w:cs="Arial"/>
                <w:sz w:val="20"/>
                <w:szCs w:val="20"/>
              </w:rPr>
              <w:t>s</w:t>
            </w:r>
            <w:r w:rsidR="00AC7A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8F0">
              <w:rPr>
                <w:rFonts w:ascii="Arial" w:hAnsi="Arial" w:cs="Arial"/>
                <w:sz w:val="20"/>
                <w:szCs w:val="20"/>
              </w:rPr>
              <w:t>across the F</w:t>
            </w:r>
            <w:r w:rsidR="002168AD">
              <w:rPr>
                <w:rFonts w:ascii="Arial" w:hAnsi="Arial" w:cs="Arial"/>
                <w:sz w:val="20"/>
                <w:szCs w:val="20"/>
              </w:rPr>
              <w:t xml:space="preserve">ashion Business School </w:t>
            </w:r>
            <w:r w:rsidR="006B38F0">
              <w:rPr>
                <w:rFonts w:ascii="Arial" w:hAnsi="Arial" w:cs="Arial"/>
                <w:sz w:val="20"/>
                <w:szCs w:val="20"/>
              </w:rPr>
              <w:t>portfolio of undergraduate and postgraduate courses</w:t>
            </w:r>
            <w:r w:rsidR="000B6463">
              <w:rPr>
                <w:rFonts w:ascii="Arial" w:hAnsi="Arial" w:cs="Arial"/>
                <w:sz w:val="20"/>
                <w:szCs w:val="20"/>
              </w:rPr>
              <w:t xml:space="preserve"> including our MBA and Executive MBA. </w:t>
            </w:r>
          </w:p>
          <w:p w14:paraId="456DF0A8" w14:textId="77777777" w:rsidR="00361056" w:rsidRPr="002D7D2C" w:rsidRDefault="00361056" w:rsidP="00361056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61056" w14:paraId="5F7385F8" w14:textId="77777777">
        <w:tc>
          <w:tcPr>
            <w:tcW w:w="10440" w:type="dxa"/>
            <w:gridSpan w:val="4"/>
          </w:tcPr>
          <w:p w14:paraId="5B74EE65" w14:textId="46213F1B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B8660E">
              <w:rPr>
                <w:rFonts w:ascii="Arial" w:hAnsi="Arial"/>
                <w:b/>
                <w:sz w:val="20"/>
                <w:szCs w:val="20"/>
              </w:rPr>
              <w:t>Duties and Responsibilities:</w:t>
            </w:r>
          </w:p>
          <w:p w14:paraId="2FEA9094" w14:textId="77777777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4B94938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14:paraId="633ABFCF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5FDD5990" w14:textId="743EB112" w:rsidR="00361056" w:rsidRPr="00B8660E" w:rsidRDefault="002F37AD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lead curriculum development, planning, teaching, assessing and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 course review </w:t>
            </w:r>
            <w:r>
              <w:rPr>
                <w:rFonts w:ascii="Arial" w:hAnsi="Arial" w:cs="Arial"/>
                <w:sz w:val="20"/>
                <w:szCs w:val="20"/>
              </w:rPr>
              <w:t>in the discipline.</w:t>
            </w:r>
          </w:p>
          <w:p w14:paraId="49C1E2B2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E22AA65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14:paraId="02EFB578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411168BA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14:paraId="53EB80E3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CBC62BA" w14:textId="5FD03D8C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maintain a professional level of subject expertise by be</w:t>
            </w:r>
            <w:r w:rsidR="002F37AD">
              <w:rPr>
                <w:rFonts w:ascii="Arial" w:hAnsi="Arial" w:cs="Arial"/>
                <w:sz w:val="20"/>
                <w:szCs w:val="20"/>
              </w:rPr>
              <w:t>ing aware of relevant industry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and technological developments in the field.</w:t>
            </w:r>
          </w:p>
          <w:p w14:paraId="32244061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3C695AB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14:paraId="64687F16" w14:textId="77777777" w:rsidR="0044702A" w:rsidRPr="00B8660E" w:rsidRDefault="0044702A">
            <w:pPr>
              <w:pStyle w:val="ColorfulList-Accent11"/>
              <w:rPr>
                <w:rFonts w:ascii="Arial" w:hAnsi="Arial" w:cs="Arial"/>
                <w:sz w:val="20"/>
                <w:szCs w:val="20"/>
              </w:rPr>
            </w:pPr>
          </w:p>
          <w:p w14:paraId="1395F6B3" w14:textId="5051577B" w:rsidR="00361056" w:rsidRDefault="002F37AD" w:rsidP="002F37AD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lead</w:t>
            </w:r>
            <w:r w:rsidR="00724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th</w:t>
            </w:r>
            <w:r w:rsidR="004E0030">
              <w:rPr>
                <w:rFonts w:ascii="Arial" w:hAnsi="Arial" w:cs="Arial"/>
                <w:sz w:val="20"/>
                <w:szCs w:val="20"/>
              </w:rPr>
              <w:t>e management of the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 teaching and as</w:t>
            </w:r>
            <w:r w:rsidR="00996C9F">
              <w:rPr>
                <w:rFonts w:ascii="Arial" w:hAnsi="Arial" w:cs="Arial"/>
                <w:sz w:val="20"/>
                <w:szCs w:val="20"/>
              </w:rPr>
              <w:t>sessment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discipline areas.</w:t>
            </w:r>
          </w:p>
          <w:p w14:paraId="08ABE949" w14:textId="77777777" w:rsidR="002F37AD" w:rsidRPr="00B8660E" w:rsidRDefault="002F37AD" w:rsidP="002F37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25E6F9" w14:textId="22827A9F" w:rsidR="00361056" w:rsidRPr="00B8660E" w:rsidRDefault="002F37AD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lead the process of reviewing discipline specific curriculum units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and contributing to the identification and validation of new units</w:t>
            </w:r>
            <w:r w:rsidR="006F428F">
              <w:rPr>
                <w:rFonts w:ascii="Arial" w:hAnsi="Arial" w:cs="Arial"/>
                <w:sz w:val="20"/>
                <w:szCs w:val="20"/>
              </w:rPr>
              <w:t xml:space="preserve"> and embedding </w:t>
            </w:r>
            <w:r w:rsidR="00724099">
              <w:rPr>
                <w:rFonts w:ascii="Arial" w:hAnsi="Arial" w:cs="Arial"/>
                <w:sz w:val="20"/>
                <w:szCs w:val="20"/>
              </w:rPr>
              <w:t>professional body accreditation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1AD644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89AD9A0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14:paraId="279BB0C2" w14:textId="77777777" w:rsidR="00361056" w:rsidRPr="00B8660E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AD8CFF4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take responsibility as year tutor for student groups as required.</w:t>
            </w:r>
          </w:p>
          <w:p w14:paraId="0AAE9671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6CE1583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857E7">
              <w:rPr>
                <w:rFonts w:ascii="Arial" w:hAnsi="Arial" w:cs="Arial"/>
                <w:sz w:val="20"/>
                <w:szCs w:val="20"/>
              </w:rPr>
              <w:t>support the Course Leaders in undertaking general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course management responsibilities including assessment, </w:t>
            </w:r>
            <w:r w:rsidR="006857E7">
              <w:rPr>
                <w:rFonts w:ascii="Arial" w:hAnsi="Arial" w:cs="Arial"/>
                <w:sz w:val="20"/>
                <w:szCs w:val="20"/>
              </w:rPr>
              <w:t>recruitment and admissions.</w:t>
            </w:r>
          </w:p>
          <w:p w14:paraId="0B1C1FBB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F9F3F1" w14:textId="2E10AEF1" w:rsidR="00361056" w:rsidRPr="00B8660E" w:rsidRDefault="004E0030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liaise with Course Leaders and Hourly Paid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Lecturers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ensure quality and consistency of delivery across all courses.</w:t>
            </w:r>
          </w:p>
          <w:p w14:paraId="2010486F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B782AC" w14:textId="1FAA5FBA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F37AD">
              <w:rPr>
                <w:rFonts w:ascii="Arial" w:hAnsi="Arial" w:cs="Arial"/>
                <w:sz w:val="20"/>
                <w:szCs w:val="20"/>
              </w:rPr>
              <w:t>lead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the planning and development of the curriculum and teaching programme for </w:t>
            </w:r>
            <w:r w:rsidR="002F37AD">
              <w:rPr>
                <w:rFonts w:ascii="Arial" w:hAnsi="Arial" w:cs="Arial"/>
                <w:sz w:val="20"/>
                <w:szCs w:val="20"/>
              </w:rPr>
              <w:t>the discipline area in collaboration with the Course Leaders.</w:t>
            </w:r>
          </w:p>
          <w:p w14:paraId="3A1CCABD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9A8EB8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Undertake planned internal verification of assessments, providing feedback and guidance on best practice to tutors.</w:t>
            </w:r>
          </w:p>
          <w:p w14:paraId="2D6235C9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B62D1F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Secure productive contacts and links with external organisations, employers and agencies that will benefit students on and provide further opportunities for income generation and sponsorship.</w:t>
            </w:r>
          </w:p>
          <w:p w14:paraId="06EDD495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D011531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lastRenderedPageBreak/>
              <w:t>To engage in regular monitoring and review of the quality of the teaching and learning provision in accordance with the procedures of the University.</w:t>
            </w:r>
          </w:p>
          <w:p w14:paraId="5D96FA6D" w14:textId="77777777" w:rsidR="00361056" w:rsidRPr="00B8660E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4120ABB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43326753" w14:textId="77777777" w:rsidR="00361056" w:rsidRPr="00B8660E" w:rsidRDefault="00361056" w:rsidP="0036105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FB2A840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03ED9BEF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3DCE4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56BDF217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D3F56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continuous persona</w:t>
            </w:r>
            <w:r w:rsidR="006B38F0">
              <w:rPr>
                <w:rFonts w:ascii="Arial" w:hAnsi="Arial" w:cs="Arial"/>
                <w:sz w:val="20"/>
                <w:szCs w:val="20"/>
              </w:rPr>
              <w:t xml:space="preserve">l and professional development </w:t>
            </w:r>
            <w:r w:rsidRPr="00B8660E">
              <w:rPr>
                <w:rFonts w:ascii="Arial" w:hAnsi="Arial" w:cs="Arial"/>
                <w:sz w:val="20"/>
                <w:szCs w:val="20"/>
              </w:rPr>
              <w:t>through effective use of the University’s Planning, Review and Appraisal scheme and staff development opportunities.</w:t>
            </w:r>
          </w:p>
          <w:p w14:paraId="41739E0F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37ACC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B8660E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B8660E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4E0A9350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24E8A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674BBBE1" w14:textId="77777777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61056" w14:paraId="34993206" w14:textId="77777777">
        <w:trPr>
          <w:trHeight w:val="1252"/>
        </w:trPr>
        <w:tc>
          <w:tcPr>
            <w:tcW w:w="10440" w:type="dxa"/>
            <w:gridSpan w:val="4"/>
          </w:tcPr>
          <w:p w14:paraId="6DE77620" w14:textId="77777777" w:rsidR="00361056" w:rsidRDefault="00361056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0A2BB807" w14:textId="3B651B1C" w:rsidR="00724099" w:rsidRPr="00724099" w:rsidRDefault="00724099" w:rsidP="002F37A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3AB8D34" w14:textId="1E2C4DC8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Director</w:t>
            </w:r>
            <w:r w:rsidR="00724099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754ED2A" w14:textId="77777777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&amp; Postgraduate Course Leaders</w:t>
            </w:r>
          </w:p>
          <w:p w14:paraId="30CDC9EE" w14:textId="61C8713F" w:rsidR="002F37AD" w:rsidRDefault="002F37A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FBS academic teams</w:t>
            </w:r>
          </w:p>
          <w:p w14:paraId="201B45F7" w14:textId="77777777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Administration Team</w:t>
            </w:r>
          </w:p>
          <w:p w14:paraId="16440465" w14:textId="77777777" w:rsidR="00361056" w:rsidRDefault="0053799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99B">
              <w:rPr>
                <w:rFonts w:ascii="Arial" w:hAnsi="Arial" w:cs="Arial"/>
                <w:sz w:val="20"/>
                <w:szCs w:val="20"/>
              </w:rPr>
              <w:t>Site Administrator</w:t>
            </w:r>
          </w:p>
          <w:p w14:paraId="5157E92D" w14:textId="52F5198C" w:rsidR="00355D82" w:rsidRPr="00094A50" w:rsidRDefault="00355D82" w:rsidP="00404B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56" w14:paraId="35A8FFBC" w14:textId="77777777">
        <w:tc>
          <w:tcPr>
            <w:tcW w:w="10440" w:type="dxa"/>
            <w:gridSpan w:val="4"/>
          </w:tcPr>
          <w:p w14:paraId="7420DF60" w14:textId="77777777" w:rsidR="00361056" w:rsidRPr="004879C9" w:rsidRDefault="00361056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2C2665DB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581E3F53" w14:textId="77777777" w:rsidR="00361056" w:rsidRDefault="00361056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 None</w:t>
            </w:r>
          </w:p>
          <w:p w14:paraId="1B7038E8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3B43E962" w14:textId="77777777" w:rsidR="00361056" w:rsidRDefault="00361056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 None</w:t>
            </w:r>
          </w:p>
          <w:p w14:paraId="375D2AEB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0C445CCE" w14:textId="77777777" w:rsidR="00361056" w:rsidRDefault="00361056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 None</w:t>
            </w:r>
          </w:p>
        </w:tc>
      </w:tr>
    </w:tbl>
    <w:p w14:paraId="2F67B247" w14:textId="77777777" w:rsidR="00361056" w:rsidRDefault="00361056">
      <w:pPr>
        <w:rPr>
          <w:rFonts w:ascii="Arial" w:hAnsi="Arial"/>
          <w:b/>
          <w:sz w:val="20"/>
        </w:rPr>
      </w:pPr>
    </w:p>
    <w:p w14:paraId="382F259C" w14:textId="77777777" w:rsidR="00361056" w:rsidRDefault="00361056">
      <w:pPr>
        <w:rPr>
          <w:rFonts w:ascii="Arial" w:hAnsi="Arial"/>
          <w:b/>
          <w:sz w:val="20"/>
        </w:rPr>
      </w:pPr>
    </w:p>
    <w:p w14:paraId="03C2A705" w14:textId="77777777" w:rsidR="00361056" w:rsidRDefault="00361056">
      <w:pPr>
        <w:rPr>
          <w:rFonts w:ascii="Arial" w:hAnsi="Arial"/>
          <w:b/>
          <w:sz w:val="20"/>
        </w:rPr>
      </w:pPr>
    </w:p>
    <w:p w14:paraId="5D8E1A05" w14:textId="24B0BC83" w:rsidR="00361056" w:rsidRDefault="0036105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355D82">
        <w:rPr>
          <w:rFonts w:ascii="Arial" w:hAnsi="Arial"/>
          <w:sz w:val="20"/>
          <w:u w:val="single"/>
        </w:rPr>
        <w:t>Matteo Montecchi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0B6463">
        <w:rPr>
          <w:rFonts w:ascii="Arial" w:hAnsi="Arial"/>
          <w:sz w:val="20"/>
          <w:u w:val="single"/>
        </w:rPr>
        <w:t>08/01/2018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F891C4A" w14:textId="77777777" w:rsidR="00361056" w:rsidRDefault="00361056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3A0F20FE" w14:textId="77777777" w:rsidR="00361056" w:rsidRDefault="00361056">
      <w:pPr>
        <w:pStyle w:val="BodyText2"/>
        <w:rPr>
          <w:rFonts w:cs="Times New Roman"/>
        </w:rPr>
      </w:pPr>
    </w:p>
    <w:p w14:paraId="71718F81" w14:textId="77777777" w:rsidR="00361056" w:rsidRDefault="00361056">
      <w:pPr>
        <w:pStyle w:val="BodyText2"/>
        <w:rPr>
          <w:rFonts w:cs="Times New Roman"/>
        </w:rPr>
      </w:pPr>
      <w:r>
        <w:rPr>
          <w:rFonts w:cs="Times New Roman"/>
        </w:rPr>
        <w:br w:type="page"/>
      </w:r>
    </w:p>
    <w:p w14:paraId="2C9B42E6" w14:textId="529F5C75" w:rsidR="00C102F6" w:rsidRDefault="00C102F6" w:rsidP="00996C9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</w:t>
      </w:r>
      <w:r w:rsidR="00D12404">
        <w:rPr>
          <w:rFonts w:ascii="Arial" w:hAnsi="Arial" w:cs="Arial"/>
          <w:b/>
          <w:sz w:val="28"/>
          <w:szCs w:val="28"/>
        </w:rPr>
        <w:t xml:space="preserve">Subject Leader </w:t>
      </w:r>
      <w:r w:rsidRPr="00C102F6">
        <w:rPr>
          <w:rFonts w:ascii="Arial" w:hAnsi="Arial"/>
          <w:b/>
          <w:sz w:val="28"/>
          <w:szCs w:val="28"/>
        </w:rPr>
        <w:t xml:space="preserve">in </w:t>
      </w:r>
      <w:r w:rsidR="00B65634">
        <w:rPr>
          <w:rFonts w:ascii="Arial" w:hAnsi="Arial" w:cs="Arial"/>
          <w:b/>
          <w:sz w:val="28"/>
          <w:szCs w:val="28"/>
        </w:rPr>
        <w:t>Business Strategy</w:t>
      </w:r>
    </w:p>
    <w:p w14:paraId="5B622EEB" w14:textId="5CBC541D" w:rsidR="00C102F6" w:rsidRDefault="002F37AD" w:rsidP="00996C9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7621"/>
      </w:tblGrid>
      <w:tr w:rsidR="00C102F6" w14:paraId="308121B9" w14:textId="77777777" w:rsidTr="006857E7">
        <w:trPr>
          <w:trHeight w:val="410"/>
        </w:trPr>
        <w:tc>
          <w:tcPr>
            <w:tcW w:w="10343" w:type="dxa"/>
            <w:gridSpan w:val="2"/>
            <w:shd w:val="clear" w:color="auto" w:fill="000000" w:themeFill="text1"/>
          </w:tcPr>
          <w:p w14:paraId="60AEE481" w14:textId="77777777" w:rsidR="00C102F6" w:rsidRPr="00837A31" w:rsidRDefault="00C102F6" w:rsidP="00F30760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6857E7" w:rsidRPr="006857E7" w14:paraId="63083335" w14:textId="77777777" w:rsidTr="006857E7">
        <w:tc>
          <w:tcPr>
            <w:tcW w:w="2722" w:type="dxa"/>
          </w:tcPr>
          <w:p w14:paraId="64F78F85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</w:p>
          <w:p w14:paraId="0849CEF1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Specialist Knowledge/</w:t>
            </w:r>
          </w:p>
          <w:p w14:paraId="12949D10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Qualifications</w:t>
            </w:r>
          </w:p>
        </w:tc>
        <w:tc>
          <w:tcPr>
            <w:tcW w:w="7621" w:type="dxa"/>
          </w:tcPr>
          <w:p w14:paraId="6A5A3A6A" w14:textId="77777777" w:rsidR="006B38F0" w:rsidRPr="006857E7" w:rsidRDefault="006B38F0" w:rsidP="002C6AA6">
            <w:pPr>
              <w:pBdr>
                <w:bottom w:val="single" w:sz="4" w:space="1" w:color="auto"/>
              </w:pBdr>
              <w:spacing w:line="240" w:lineRule="atLeast"/>
              <w:rPr>
                <w:rFonts w:asciiTheme="majorHAnsi" w:hAnsiTheme="majorHAnsi" w:cs="Arial"/>
                <w:szCs w:val="22"/>
              </w:rPr>
            </w:pPr>
          </w:p>
          <w:p w14:paraId="46D56E13" w14:textId="5AEFB8FF" w:rsidR="004B464A" w:rsidRDefault="006B38F0" w:rsidP="006B38F0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Relevant </w:t>
            </w:r>
            <w:r w:rsidR="009A0BF2">
              <w:rPr>
                <w:rFonts w:ascii="Arial" w:hAnsi="Arial" w:cs="Arial"/>
                <w:szCs w:val="22"/>
              </w:rPr>
              <w:t>Master’s</w:t>
            </w:r>
            <w:r w:rsidRPr="006857E7">
              <w:rPr>
                <w:rFonts w:ascii="Arial" w:hAnsi="Arial" w:cs="Arial"/>
                <w:szCs w:val="22"/>
              </w:rPr>
              <w:t xml:space="preserve"> </w:t>
            </w:r>
            <w:r w:rsidR="00355D82">
              <w:rPr>
                <w:rFonts w:ascii="Arial" w:hAnsi="Arial" w:cs="Arial"/>
                <w:szCs w:val="22"/>
              </w:rPr>
              <w:t>Degree</w:t>
            </w:r>
            <w:r w:rsidR="004B464A">
              <w:rPr>
                <w:rFonts w:ascii="Arial" w:hAnsi="Arial" w:cs="Arial"/>
                <w:szCs w:val="22"/>
              </w:rPr>
              <w:t xml:space="preserve"> </w:t>
            </w:r>
            <w:r w:rsidR="002F37AD">
              <w:rPr>
                <w:rFonts w:ascii="Arial" w:hAnsi="Arial" w:cs="Arial"/>
                <w:szCs w:val="22"/>
              </w:rPr>
              <w:t xml:space="preserve">in </w:t>
            </w:r>
            <w:r w:rsidR="002A748F">
              <w:rPr>
                <w:rFonts w:ascii="Arial" w:hAnsi="Arial" w:cs="Arial"/>
                <w:szCs w:val="22"/>
              </w:rPr>
              <w:t xml:space="preserve">business, strategy, management or </w:t>
            </w:r>
            <w:r w:rsidR="00404B0E">
              <w:rPr>
                <w:rFonts w:ascii="Arial" w:hAnsi="Arial" w:cs="Arial"/>
                <w:szCs w:val="22"/>
              </w:rPr>
              <w:t xml:space="preserve">a </w:t>
            </w:r>
            <w:r w:rsidR="002A748F">
              <w:rPr>
                <w:rFonts w:ascii="Arial" w:hAnsi="Arial" w:cs="Arial"/>
                <w:szCs w:val="22"/>
              </w:rPr>
              <w:t xml:space="preserve">related discipline is essential. </w:t>
            </w:r>
          </w:p>
          <w:p w14:paraId="0870D769" w14:textId="77777777" w:rsidR="004B464A" w:rsidRDefault="004B464A" w:rsidP="006B38F0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345446DA" w14:textId="29E7584B" w:rsidR="000B6463" w:rsidRDefault="004B464A" w:rsidP="000B6463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PhD in</w:t>
            </w:r>
            <w:r w:rsidR="007631CA">
              <w:rPr>
                <w:rFonts w:ascii="Arial" w:hAnsi="Arial" w:cs="Arial"/>
                <w:szCs w:val="22"/>
              </w:rPr>
              <w:t xml:space="preserve"> </w:t>
            </w:r>
            <w:r w:rsidR="00997CE0" w:rsidRPr="00997CE0">
              <w:rPr>
                <w:rFonts w:ascii="Arial" w:hAnsi="Arial" w:cs="Arial"/>
                <w:szCs w:val="22"/>
              </w:rPr>
              <w:t xml:space="preserve">business, strategy, management or related discipline </w:t>
            </w:r>
            <w:r w:rsidR="000B6463">
              <w:rPr>
                <w:rFonts w:ascii="Arial" w:hAnsi="Arial" w:cs="Arial"/>
                <w:szCs w:val="22"/>
              </w:rPr>
              <w:t xml:space="preserve">or </w:t>
            </w:r>
            <w:r w:rsidR="000B6463" w:rsidRPr="006857E7">
              <w:rPr>
                <w:rFonts w:ascii="Arial" w:hAnsi="Arial" w:cs="Arial"/>
                <w:szCs w:val="22"/>
              </w:rPr>
              <w:t xml:space="preserve">professional experience </w:t>
            </w:r>
            <w:r w:rsidR="000B6463">
              <w:rPr>
                <w:rFonts w:ascii="Arial" w:hAnsi="Arial" w:cs="Arial"/>
                <w:szCs w:val="22"/>
              </w:rPr>
              <w:t xml:space="preserve">in </w:t>
            </w:r>
            <w:r w:rsidR="00BA5C3B">
              <w:rPr>
                <w:rFonts w:ascii="Arial" w:hAnsi="Arial" w:cs="Arial"/>
                <w:szCs w:val="22"/>
              </w:rPr>
              <w:t xml:space="preserve">senior roles relevant to the post is essential. </w:t>
            </w:r>
            <w:r w:rsidR="000B6463">
              <w:rPr>
                <w:rFonts w:ascii="Arial" w:hAnsi="Arial" w:cs="Arial"/>
                <w:szCs w:val="22"/>
              </w:rPr>
              <w:t xml:space="preserve"> </w:t>
            </w:r>
          </w:p>
          <w:p w14:paraId="69FAC557" w14:textId="77777777" w:rsidR="000B6463" w:rsidRDefault="000B6463" w:rsidP="000B6463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5484DC89" w14:textId="0D9A3AD3" w:rsidR="00BA5C3B" w:rsidRDefault="00BA5C3B" w:rsidP="000B6463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Teaching qualification relevant to HE and/or </w:t>
            </w:r>
            <w:r w:rsidRPr="006857E7">
              <w:rPr>
                <w:rFonts w:ascii="Arial" w:hAnsi="Arial" w:cs="Arial"/>
                <w:szCs w:val="22"/>
              </w:rPr>
              <w:t xml:space="preserve">Fellowship of </w:t>
            </w:r>
            <w:r>
              <w:rPr>
                <w:rFonts w:ascii="Arial" w:hAnsi="Arial" w:cs="Arial"/>
                <w:szCs w:val="22"/>
              </w:rPr>
              <w:t>the HEA is essential.</w:t>
            </w:r>
          </w:p>
          <w:p w14:paraId="21C6F12F" w14:textId="77777777" w:rsidR="00BA5C3B" w:rsidRPr="006857E7" w:rsidRDefault="00BA5C3B" w:rsidP="006B38F0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12A53A68" w14:textId="77777777" w:rsidR="00BA5C3B" w:rsidRPr="006857E7" w:rsidRDefault="00BA5C3B" w:rsidP="002C6AA6">
            <w:pPr>
              <w:rPr>
                <w:rFonts w:ascii="Arial" w:hAnsi="Arial" w:cs="Arial"/>
                <w:szCs w:val="22"/>
              </w:rPr>
            </w:pPr>
          </w:p>
          <w:p w14:paraId="780FD682" w14:textId="5B06597A" w:rsidR="00BA5C3B" w:rsidRPr="006857E7" w:rsidRDefault="00BA5C3B" w:rsidP="00BA5C3B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  <w:r w:rsidRPr="006857E7">
              <w:rPr>
                <w:rFonts w:ascii="Arial" w:hAnsi="Arial" w:cs="Arial"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 xml:space="preserve">mbership of a </w:t>
            </w:r>
            <w:r w:rsidR="00B65634">
              <w:rPr>
                <w:rFonts w:ascii="Arial" w:hAnsi="Arial" w:cs="Arial"/>
                <w:szCs w:val="22"/>
              </w:rPr>
              <w:t xml:space="preserve">relevant </w:t>
            </w:r>
            <w:r>
              <w:rPr>
                <w:rFonts w:ascii="Arial" w:hAnsi="Arial" w:cs="Arial"/>
                <w:szCs w:val="22"/>
              </w:rPr>
              <w:t>professional bo</w:t>
            </w:r>
            <w:r w:rsidR="00B65634">
              <w:rPr>
                <w:rFonts w:ascii="Arial" w:hAnsi="Arial" w:cs="Arial"/>
                <w:szCs w:val="22"/>
              </w:rPr>
              <w:t>dy (</w:t>
            </w:r>
            <w:proofErr w:type="spellStart"/>
            <w:r w:rsidR="00B65634">
              <w:rPr>
                <w:rFonts w:ascii="Arial" w:hAnsi="Arial" w:cs="Arial"/>
                <w:szCs w:val="22"/>
              </w:rPr>
              <w:t>e.g</w:t>
            </w:r>
            <w:proofErr w:type="spellEnd"/>
            <w:r w:rsidR="00B65634">
              <w:rPr>
                <w:rFonts w:ascii="Arial" w:hAnsi="Arial" w:cs="Arial"/>
                <w:szCs w:val="22"/>
              </w:rPr>
              <w:t xml:space="preserve"> ACA/ </w:t>
            </w:r>
            <w:r>
              <w:rPr>
                <w:rFonts w:ascii="Arial" w:hAnsi="Arial" w:cs="Arial"/>
                <w:szCs w:val="22"/>
              </w:rPr>
              <w:t>CMI</w:t>
            </w:r>
            <w:r w:rsidR="00B65634">
              <w:rPr>
                <w:rFonts w:ascii="Arial" w:hAnsi="Arial" w:cs="Arial"/>
                <w:szCs w:val="22"/>
              </w:rPr>
              <w:t>/ CIPS/ CIPD/ CIM</w:t>
            </w:r>
            <w:r>
              <w:rPr>
                <w:rFonts w:ascii="Arial" w:hAnsi="Arial" w:cs="Arial"/>
                <w:szCs w:val="22"/>
              </w:rPr>
              <w:t>) is desirable.</w:t>
            </w:r>
          </w:p>
          <w:p w14:paraId="2CE83363" w14:textId="07BA0CB3" w:rsidR="006B38F0" w:rsidRPr="006857E7" w:rsidRDefault="006B38F0" w:rsidP="000B6463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</w:tc>
      </w:tr>
      <w:tr w:rsidR="006857E7" w:rsidRPr="006857E7" w14:paraId="12A5F5B0" w14:textId="77777777" w:rsidTr="006857E7">
        <w:tc>
          <w:tcPr>
            <w:tcW w:w="2722" w:type="dxa"/>
          </w:tcPr>
          <w:p w14:paraId="4CA154B7" w14:textId="04ECB88E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</w:p>
          <w:p w14:paraId="643BCFDD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Relevant Experience </w:t>
            </w:r>
          </w:p>
        </w:tc>
        <w:tc>
          <w:tcPr>
            <w:tcW w:w="7621" w:type="dxa"/>
          </w:tcPr>
          <w:p w14:paraId="65A233E4" w14:textId="77777777" w:rsidR="006B38F0" w:rsidRPr="006857E7" w:rsidRDefault="006B38F0" w:rsidP="00F30760">
            <w:pPr>
              <w:rPr>
                <w:rFonts w:ascii="Arial" w:hAnsi="Arial" w:cs="Arial"/>
                <w:i/>
                <w:szCs w:val="22"/>
              </w:rPr>
            </w:pPr>
          </w:p>
          <w:p w14:paraId="1CF31B7A" w14:textId="70CF5D62" w:rsidR="00C43AC7" w:rsidRDefault="00C43AC7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Relevant academic experience at </w:t>
            </w:r>
            <w:r w:rsidR="007631CA">
              <w:rPr>
                <w:rFonts w:ascii="Arial" w:hAnsi="Arial" w:cs="Arial"/>
                <w:szCs w:val="22"/>
              </w:rPr>
              <w:t xml:space="preserve">undergraduate </w:t>
            </w:r>
            <w:r>
              <w:rPr>
                <w:rFonts w:ascii="Arial" w:hAnsi="Arial" w:cs="Arial"/>
                <w:szCs w:val="22"/>
              </w:rPr>
              <w:t>and</w:t>
            </w:r>
            <w:r w:rsidR="007631CA">
              <w:rPr>
                <w:rFonts w:ascii="Arial" w:hAnsi="Arial" w:cs="Arial"/>
                <w:szCs w:val="22"/>
              </w:rPr>
              <w:t xml:space="preserve"> postgraduate</w:t>
            </w:r>
            <w:r>
              <w:rPr>
                <w:rFonts w:ascii="Arial" w:hAnsi="Arial" w:cs="Arial"/>
                <w:szCs w:val="22"/>
              </w:rPr>
              <w:t xml:space="preserve"> level</w:t>
            </w:r>
            <w:r w:rsidR="00BA5C3B">
              <w:rPr>
                <w:rFonts w:ascii="Arial" w:hAnsi="Arial" w:cs="Arial"/>
                <w:szCs w:val="22"/>
              </w:rPr>
              <w:t xml:space="preserve"> (including MBA and Executive MBA)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B46D81">
              <w:rPr>
                <w:rFonts w:ascii="Arial" w:hAnsi="Arial" w:cs="Arial"/>
                <w:szCs w:val="22"/>
              </w:rPr>
              <w:t>of leading modules/units and</w:t>
            </w:r>
            <w:r>
              <w:rPr>
                <w:rFonts w:ascii="Arial" w:hAnsi="Arial" w:cs="Arial"/>
                <w:szCs w:val="22"/>
              </w:rPr>
              <w:t xml:space="preserve"> of teaching a diverse cohort of students</w:t>
            </w:r>
            <w:r w:rsidR="007631CA">
              <w:rPr>
                <w:rFonts w:ascii="Arial" w:hAnsi="Arial" w:cs="Arial"/>
                <w:szCs w:val="22"/>
              </w:rPr>
              <w:t xml:space="preserve"> is essential. </w:t>
            </w:r>
          </w:p>
          <w:p w14:paraId="3571DBF5" w14:textId="77777777" w:rsidR="00C43AC7" w:rsidRDefault="00C43AC7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1AAD8D2B" w14:textId="7204AA5B" w:rsidR="006B38F0" w:rsidRDefault="006B38F0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Evidence of research and publications in the</w:t>
            </w:r>
            <w:r w:rsidR="00AC7A7E">
              <w:rPr>
                <w:rFonts w:ascii="Arial" w:hAnsi="Arial" w:cs="Arial"/>
                <w:szCs w:val="22"/>
              </w:rPr>
              <w:t xml:space="preserve"> discipline</w:t>
            </w:r>
            <w:r w:rsidR="002B03AE">
              <w:rPr>
                <w:rFonts w:ascii="Arial" w:hAnsi="Arial" w:cs="Arial"/>
                <w:szCs w:val="22"/>
              </w:rPr>
              <w:t xml:space="preserve"> area </w:t>
            </w:r>
            <w:r w:rsidR="005D5742">
              <w:rPr>
                <w:rFonts w:ascii="Arial" w:hAnsi="Arial" w:cs="Arial"/>
                <w:szCs w:val="22"/>
              </w:rPr>
              <w:t>is desirable.</w:t>
            </w:r>
          </w:p>
          <w:p w14:paraId="6C3D3B9A" w14:textId="77777777" w:rsidR="008C3B2E" w:rsidRPr="006857E7" w:rsidRDefault="008C3B2E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078D1087" w14:textId="77777777" w:rsidR="008C3B2E" w:rsidRDefault="008C3B2E" w:rsidP="00F30760">
            <w:pPr>
              <w:rPr>
                <w:rFonts w:ascii="Arial" w:hAnsi="Arial" w:cs="Arial"/>
                <w:szCs w:val="22"/>
              </w:rPr>
            </w:pPr>
          </w:p>
          <w:p w14:paraId="04246C13" w14:textId="239AA6F0" w:rsidR="008C3B2E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Professional experience </w:t>
            </w:r>
            <w:r w:rsidR="008C3B2E">
              <w:rPr>
                <w:rFonts w:ascii="Arial" w:hAnsi="Arial" w:cs="Arial"/>
                <w:szCs w:val="22"/>
              </w:rPr>
              <w:t xml:space="preserve">in the context of the wider fashion industry is desirable.  </w:t>
            </w:r>
          </w:p>
          <w:p w14:paraId="5495D1FF" w14:textId="77777777" w:rsidR="006857E7" w:rsidRPr="006857E7" w:rsidRDefault="006857E7" w:rsidP="00BA5C3B">
            <w:pPr>
              <w:rPr>
                <w:rFonts w:ascii="Arial" w:hAnsi="Arial" w:cs="Arial"/>
                <w:szCs w:val="22"/>
              </w:rPr>
            </w:pPr>
          </w:p>
        </w:tc>
      </w:tr>
      <w:tr w:rsidR="006857E7" w:rsidRPr="006857E7" w14:paraId="608E08AE" w14:textId="77777777" w:rsidTr="006857E7">
        <w:tc>
          <w:tcPr>
            <w:tcW w:w="2722" w:type="dxa"/>
            <w:vAlign w:val="center"/>
          </w:tcPr>
          <w:p w14:paraId="03CF1072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Communication Skills</w:t>
            </w:r>
          </w:p>
        </w:tc>
        <w:tc>
          <w:tcPr>
            <w:tcW w:w="7621" w:type="dxa"/>
            <w:vAlign w:val="center"/>
          </w:tcPr>
          <w:p w14:paraId="39B69F09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DFFE9E6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Communicates effectively orally and in writing adapting the message for a diverse audience in an inclusive and accessible way</w:t>
            </w:r>
          </w:p>
          <w:p w14:paraId="4DBCD6EC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5BE6E73C" w14:textId="77777777" w:rsidTr="006857E7">
        <w:tc>
          <w:tcPr>
            <w:tcW w:w="2722" w:type="dxa"/>
            <w:vAlign w:val="center"/>
          </w:tcPr>
          <w:p w14:paraId="43EFD919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Leadership and Management</w:t>
            </w:r>
          </w:p>
        </w:tc>
        <w:tc>
          <w:tcPr>
            <w:tcW w:w="7621" w:type="dxa"/>
            <w:vAlign w:val="center"/>
          </w:tcPr>
          <w:p w14:paraId="63685E69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9E49234" w14:textId="77777777" w:rsidR="00C43AC7" w:rsidRPr="00404B0E" w:rsidRDefault="00C43AC7" w:rsidP="00C43AC7">
            <w:pPr>
              <w:rPr>
                <w:rFonts w:ascii="Arial" w:hAnsi="Arial" w:cs="Arial"/>
                <w:color w:val="000000"/>
                <w:szCs w:val="22"/>
              </w:rPr>
            </w:pPr>
            <w:r w:rsidRPr="00404B0E">
              <w:rPr>
                <w:rFonts w:ascii="Arial" w:hAnsi="Arial" w:cs="Arial"/>
                <w:color w:val="000000"/>
                <w:szCs w:val="22"/>
              </w:rPr>
              <w:t xml:space="preserve">Motivates and leads a team effectively, setting clear objectives to manage performance </w:t>
            </w:r>
          </w:p>
          <w:p w14:paraId="701E77CD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4F0C82E3" w14:textId="77777777" w:rsidTr="006857E7">
        <w:trPr>
          <w:trHeight w:val="968"/>
        </w:trPr>
        <w:tc>
          <w:tcPr>
            <w:tcW w:w="2722" w:type="dxa"/>
            <w:vMerge w:val="restart"/>
            <w:vAlign w:val="center"/>
          </w:tcPr>
          <w:p w14:paraId="4441DB10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Research, Teaching and Learning</w:t>
            </w:r>
          </w:p>
        </w:tc>
        <w:tc>
          <w:tcPr>
            <w:tcW w:w="7621" w:type="dxa"/>
            <w:vAlign w:val="center"/>
          </w:tcPr>
          <w:p w14:paraId="2D7DCEBA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E708E36" w14:textId="113BD066" w:rsidR="006B38F0" w:rsidRPr="006857E7" w:rsidRDefault="00C43AC7" w:rsidP="00F30760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Applies innovative approaches to</w:t>
            </w:r>
            <w:r w:rsidR="006B38F0" w:rsidRPr="006857E7">
              <w:rPr>
                <w:rFonts w:ascii="Arial" w:hAnsi="Arial" w:cs="Arial"/>
                <w:color w:val="000000"/>
                <w:szCs w:val="22"/>
              </w:rPr>
              <w:t xml:space="preserve"> teaching, learning or professional practice to support excellent teaching, pedagogy and inclusivity</w:t>
            </w:r>
          </w:p>
        </w:tc>
      </w:tr>
      <w:tr w:rsidR="006857E7" w:rsidRPr="006857E7" w14:paraId="40DBA6B5" w14:textId="77777777" w:rsidTr="006857E7">
        <w:trPr>
          <w:trHeight w:val="967"/>
        </w:trPr>
        <w:tc>
          <w:tcPr>
            <w:tcW w:w="2722" w:type="dxa"/>
            <w:vMerge/>
            <w:vAlign w:val="center"/>
          </w:tcPr>
          <w:p w14:paraId="2E060D11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621" w:type="dxa"/>
            <w:vAlign w:val="center"/>
          </w:tcPr>
          <w:p w14:paraId="39300D68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37F2C85" w14:textId="77777777" w:rsidR="006B38F0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 xml:space="preserve">Applies </w:t>
            </w:r>
            <w:r w:rsidR="006B38F0" w:rsidRPr="006857E7">
              <w:rPr>
                <w:rFonts w:ascii="Arial" w:hAnsi="Arial" w:cs="Arial"/>
                <w:color w:val="000000"/>
                <w:szCs w:val="22"/>
              </w:rPr>
              <w:t>own research to develop learning and assessment practice</w:t>
            </w:r>
          </w:p>
        </w:tc>
      </w:tr>
      <w:tr w:rsidR="006857E7" w:rsidRPr="006857E7" w14:paraId="231137CF" w14:textId="77777777" w:rsidTr="006857E7">
        <w:tc>
          <w:tcPr>
            <w:tcW w:w="2722" w:type="dxa"/>
            <w:vAlign w:val="center"/>
          </w:tcPr>
          <w:p w14:paraId="45975707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Professional Practice </w:t>
            </w:r>
          </w:p>
        </w:tc>
        <w:tc>
          <w:tcPr>
            <w:tcW w:w="7621" w:type="dxa"/>
            <w:vAlign w:val="center"/>
          </w:tcPr>
          <w:p w14:paraId="59F28940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88830B2" w14:textId="059D28F9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Contributes to advancing professional practice/research or scholarly</w:t>
            </w:r>
            <w:r w:rsidR="009A4ECB">
              <w:rPr>
                <w:rFonts w:ascii="Arial" w:hAnsi="Arial" w:cs="Arial"/>
                <w:color w:val="000000"/>
                <w:szCs w:val="22"/>
              </w:rPr>
              <w:t xml:space="preserve"> activity in the discipline area.</w:t>
            </w:r>
          </w:p>
          <w:p w14:paraId="2BC0EB57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73E513D4" w14:textId="77777777" w:rsidTr="006857E7">
        <w:tc>
          <w:tcPr>
            <w:tcW w:w="2722" w:type="dxa"/>
            <w:vAlign w:val="center"/>
          </w:tcPr>
          <w:p w14:paraId="6696B373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Planning and managing resources</w:t>
            </w:r>
          </w:p>
        </w:tc>
        <w:tc>
          <w:tcPr>
            <w:tcW w:w="7621" w:type="dxa"/>
            <w:vAlign w:val="center"/>
          </w:tcPr>
          <w:p w14:paraId="3E6F25E8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90E1B09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Plans, prioritises and manages resources effectively to achieve long term objectives</w:t>
            </w:r>
          </w:p>
          <w:p w14:paraId="3D2FF55F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574AB300" w14:textId="77777777" w:rsidTr="006857E7">
        <w:trPr>
          <w:trHeight w:val="874"/>
        </w:trPr>
        <w:tc>
          <w:tcPr>
            <w:tcW w:w="2722" w:type="dxa"/>
            <w:vAlign w:val="center"/>
          </w:tcPr>
          <w:p w14:paraId="36368F72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lastRenderedPageBreak/>
              <w:t>Teamwork</w:t>
            </w:r>
          </w:p>
        </w:tc>
        <w:tc>
          <w:tcPr>
            <w:tcW w:w="7621" w:type="dxa"/>
            <w:vAlign w:val="center"/>
          </w:tcPr>
          <w:p w14:paraId="6629E3C0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1F09BE72" w14:textId="77777777" w:rsidR="00C43AC7" w:rsidRPr="00404B0E" w:rsidRDefault="00C43AC7" w:rsidP="00C43AC7">
            <w:pPr>
              <w:rPr>
                <w:rFonts w:ascii="Arial" w:hAnsi="Arial" w:cs="Arial"/>
                <w:color w:val="000000"/>
                <w:szCs w:val="22"/>
              </w:rPr>
            </w:pPr>
            <w:r w:rsidRPr="00404B0E">
              <w:rPr>
                <w:rFonts w:ascii="Arial" w:hAnsi="Arial" w:cs="Arial"/>
                <w:color w:val="000000"/>
                <w:szCs w:val="22"/>
              </w:rPr>
              <w:t>Builds effective teams, networks or communities of practice and fosters constructive cross team collaboration</w:t>
            </w:r>
          </w:p>
          <w:p w14:paraId="148B8808" w14:textId="77777777" w:rsidR="00BA5C3B" w:rsidRDefault="00BA5C3B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9C074B9" w14:textId="77777777" w:rsidR="00B46D81" w:rsidRPr="006857E7" w:rsidRDefault="00B46D81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3C8A1E2B" w14:textId="77777777" w:rsidTr="006857E7">
        <w:tc>
          <w:tcPr>
            <w:tcW w:w="2722" w:type="dxa"/>
            <w:vAlign w:val="center"/>
          </w:tcPr>
          <w:p w14:paraId="67C1E003" w14:textId="77777777" w:rsidR="006B38F0" w:rsidRPr="006857E7" w:rsidRDefault="006B38F0" w:rsidP="006857E7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Student experience </w:t>
            </w:r>
          </w:p>
        </w:tc>
        <w:tc>
          <w:tcPr>
            <w:tcW w:w="7621" w:type="dxa"/>
            <w:vAlign w:val="center"/>
          </w:tcPr>
          <w:p w14:paraId="2ECBB5CF" w14:textId="77777777" w:rsidR="00C43AC7" w:rsidRDefault="00C43AC7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58C2592" w14:textId="31AC34EC" w:rsidR="006857E7" w:rsidRPr="006857E7" w:rsidRDefault="00C43AC7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404B0E">
              <w:rPr>
                <w:rFonts w:ascii="Arial" w:hAnsi="Arial" w:cs="Arial"/>
                <w:color w:val="000000"/>
                <w:szCs w:val="22"/>
              </w:rPr>
              <w:t xml:space="preserve">Contributes to improving or adapting provision to enhance the student experience </w:t>
            </w:r>
          </w:p>
        </w:tc>
      </w:tr>
      <w:tr w:rsidR="006857E7" w:rsidRPr="006857E7" w14:paraId="1453FC6E" w14:textId="77777777" w:rsidTr="006857E7">
        <w:tc>
          <w:tcPr>
            <w:tcW w:w="2722" w:type="dxa"/>
            <w:vAlign w:val="center"/>
          </w:tcPr>
          <w:p w14:paraId="19B42014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7621" w:type="dxa"/>
            <w:vAlign w:val="center"/>
          </w:tcPr>
          <w:p w14:paraId="2E3F6B8B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20D89E3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Suggests practical solutions to new or unique problems</w:t>
            </w:r>
          </w:p>
          <w:p w14:paraId="6C6FB3DC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7507C506" w14:textId="40D640B2" w:rsidR="00361056" w:rsidRPr="006857E7" w:rsidRDefault="00C102F6" w:rsidP="006857E7">
      <w:pPr>
        <w:rPr>
          <w:rFonts w:ascii="Arial" w:hAnsi="Arial" w:cs="Arial"/>
          <w:b/>
          <w:szCs w:val="22"/>
        </w:rPr>
      </w:pPr>
      <w:r w:rsidRPr="006857E7">
        <w:rPr>
          <w:rFonts w:ascii="Arial" w:hAnsi="Arial" w:cs="Arial"/>
          <w:b/>
          <w:szCs w:val="22"/>
        </w:rPr>
        <w:t xml:space="preserve">Last updated: </w:t>
      </w:r>
      <w:r w:rsidR="00BA5C3B">
        <w:rPr>
          <w:rFonts w:ascii="Arial" w:hAnsi="Arial" w:cs="Arial"/>
          <w:b/>
          <w:szCs w:val="22"/>
        </w:rPr>
        <w:t>08/01/2018</w:t>
      </w:r>
    </w:p>
    <w:sectPr w:rsidR="00361056" w:rsidRPr="006857E7" w:rsidSect="0053799B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351AB" w14:textId="77777777" w:rsidR="00CB1343" w:rsidRDefault="00CB1343">
      <w:r>
        <w:separator/>
      </w:r>
    </w:p>
  </w:endnote>
  <w:endnote w:type="continuationSeparator" w:id="0">
    <w:p w14:paraId="1D32D569" w14:textId="77777777" w:rsidR="00CB1343" w:rsidRDefault="00C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9E29" w14:textId="77777777" w:rsidR="00CB1343" w:rsidRDefault="00CB1343">
      <w:r>
        <w:separator/>
      </w:r>
    </w:p>
  </w:footnote>
  <w:footnote w:type="continuationSeparator" w:id="0">
    <w:p w14:paraId="245C68CA" w14:textId="77777777" w:rsidR="00CB1343" w:rsidRDefault="00CB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4101" w14:textId="77777777" w:rsidR="00361056" w:rsidRDefault="00361056" w:rsidP="00361056">
    <w:pPr>
      <w:pStyle w:val="Header"/>
      <w:ind w:left="360"/>
      <w:rPr>
        <w:rFonts w:ascii="Arial" w:hAnsi="Arial" w:cs="Arial"/>
        <w:b/>
      </w:rPr>
    </w:pPr>
  </w:p>
  <w:p w14:paraId="408C7172" w14:textId="77777777" w:rsidR="00361056" w:rsidRPr="00576313" w:rsidRDefault="00361056" w:rsidP="00361056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C64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AF55EE"/>
    <w:multiLevelType w:val="hybridMultilevel"/>
    <w:tmpl w:val="AE86E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5132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F6CB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04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A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85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32F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C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A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341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046F4"/>
    <w:multiLevelType w:val="hybridMultilevel"/>
    <w:tmpl w:val="A6325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058E7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43A2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36C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9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29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D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87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CA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912E2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75A6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82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2E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C9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E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AB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6D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2F4A"/>
    <w:multiLevelType w:val="hybridMultilevel"/>
    <w:tmpl w:val="BE1CD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2C81"/>
    <w:multiLevelType w:val="hybridMultilevel"/>
    <w:tmpl w:val="1F52E508"/>
    <w:lvl w:ilvl="0" w:tplc="861A0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23EA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02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C8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27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B2A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A8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8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72E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B5AD3"/>
    <w:multiLevelType w:val="hybridMultilevel"/>
    <w:tmpl w:val="9918D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3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20"/>
  </w:num>
  <w:num w:numId="10">
    <w:abstractNumId w:val="23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24"/>
  </w:num>
  <w:num w:numId="17">
    <w:abstractNumId w:val="6"/>
  </w:num>
  <w:num w:numId="18">
    <w:abstractNumId w:val="4"/>
  </w:num>
  <w:num w:numId="19">
    <w:abstractNumId w:val="9"/>
  </w:num>
  <w:num w:numId="20">
    <w:abstractNumId w:val="25"/>
  </w:num>
  <w:num w:numId="21">
    <w:abstractNumId w:val="19"/>
  </w:num>
  <w:num w:numId="22">
    <w:abstractNumId w:val="8"/>
  </w:num>
  <w:num w:numId="23">
    <w:abstractNumId w:val="27"/>
  </w:num>
  <w:num w:numId="24">
    <w:abstractNumId w:val="2"/>
  </w:num>
  <w:num w:numId="25">
    <w:abstractNumId w:val="5"/>
  </w:num>
  <w:num w:numId="26">
    <w:abstractNumId w:val="11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35FC"/>
    <w:rsid w:val="00020031"/>
    <w:rsid w:val="00050CE0"/>
    <w:rsid w:val="00063C37"/>
    <w:rsid w:val="00065D19"/>
    <w:rsid w:val="000940A9"/>
    <w:rsid w:val="000B6463"/>
    <w:rsid w:val="000E14E2"/>
    <w:rsid w:val="000E1C7E"/>
    <w:rsid w:val="00137511"/>
    <w:rsid w:val="00152ADA"/>
    <w:rsid w:val="00156811"/>
    <w:rsid w:val="001B6E39"/>
    <w:rsid w:val="001D106E"/>
    <w:rsid w:val="002168AD"/>
    <w:rsid w:val="002A748F"/>
    <w:rsid w:val="002B03AE"/>
    <w:rsid w:val="002F37AD"/>
    <w:rsid w:val="00355D82"/>
    <w:rsid w:val="00361056"/>
    <w:rsid w:val="00371C11"/>
    <w:rsid w:val="00374235"/>
    <w:rsid w:val="003813DB"/>
    <w:rsid w:val="003A0304"/>
    <w:rsid w:val="003F5B8E"/>
    <w:rsid w:val="00404B0E"/>
    <w:rsid w:val="00432859"/>
    <w:rsid w:val="0044702A"/>
    <w:rsid w:val="004A4565"/>
    <w:rsid w:val="004B2AC9"/>
    <w:rsid w:val="004B464A"/>
    <w:rsid w:val="004E0030"/>
    <w:rsid w:val="0053799B"/>
    <w:rsid w:val="00544404"/>
    <w:rsid w:val="00597D80"/>
    <w:rsid w:val="005D5742"/>
    <w:rsid w:val="006857E7"/>
    <w:rsid w:val="006A1609"/>
    <w:rsid w:val="006B38F0"/>
    <w:rsid w:val="006F428F"/>
    <w:rsid w:val="0070264F"/>
    <w:rsid w:val="00724099"/>
    <w:rsid w:val="007273F3"/>
    <w:rsid w:val="007631CA"/>
    <w:rsid w:val="00764CB5"/>
    <w:rsid w:val="007762C3"/>
    <w:rsid w:val="007A6BB0"/>
    <w:rsid w:val="007C0F2A"/>
    <w:rsid w:val="008641A6"/>
    <w:rsid w:val="00892A26"/>
    <w:rsid w:val="008B2DF4"/>
    <w:rsid w:val="008C3B2E"/>
    <w:rsid w:val="008F02B2"/>
    <w:rsid w:val="008F49CB"/>
    <w:rsid w:val="00902DAA"/>
    <w:rsid w:val="00980D59"/>
    <w:rsid w:val="00996C9F"/>
    <w:rsid w:val="00997CE0"/>
    <w:rsid w:val="009A0BF2"/>
    <w:rsid w:val="009A4ECB"/>
    <w:rsid w:val="00A31954"/>
    <w:rsid w:val="00A56E4A"/>
    <w:rsid w:val="00A668EB"/>
    <w:rsid w:val="00AC7A7E"/>
    <w:rsid w:val="00AE5493"/>
    <w:rsid w:val="00B001F3"/>
    <w:rsid w:val="00B02BDD"/>
    <w:rsid w:val="00B35C16"/>
    <w:rsid w:val="00B46D81"/>
    <w:rsid w:val="00B65634"/>
    <w:rsid w:val="00B8660E"/>
    <w:rsid w:val="00BA5C3B"/>
    <w:rsid w:val="00BF3ACF"/>
    <w:rsid w:val="00C102F6"/>
    <w:rsid w:val="00C3579D"/>
    <w:rsid w:val="00C43AC7"/>
    <w:rsid w:val="00C726DA"/>
    <w:rsid w:val="00CB1343"/>
    <w:rsid w:val="00CC6031"/>
    <w:rsid w:val="00D12404"/>
    <w:rsid w:val="00D829B1"/>
    <w:rsid w:val="00D9004E"/>
    <w:rsid w:val="00D9034D"/>
    <w:rsid w:val="00DB370E"/>
    <w:rsid w:val="00DF468A"/>
    <w:rsid w:val="00E31AA2"/>
    <w:rsid w:val="00ED62F4"/>
    <w:rsid w:val="00EE28C1"/>
    <w:rsid w:val="00F15ED7"/>
    <w:rsid w:val="00F6145E"/>
    <w:rsid w:val="00F96BDB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542A8"/>
  <w15:docId w15:val="{9E2C5AF6-E723-4DC8-82F4-23AFBFA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9B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799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3799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799B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3799B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799B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rsid w:val="0053799B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53799B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3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3799B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3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3799B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7D2C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094A50"/>
    <w:rPr>
      <w:rFonts w:ascii="Arial" w:hAnsi="Arial" w:cs="Arial"/>
      <w:lang w:eastAsia="en-US"/>
    </w:rPr>
  </w:style>
  <w:style w:type="paragraph" w:styleId="ListBullet">
    <w:name w:val="List Bullet"/>
    <w:basedOn w:val="Normal"/>
    <w:rsid w:val="00094A50"/>
    <w:pPr>
      <w:numPr>
        <w:numId w:val="28"/>
      </w:numPr>
    </w:pPr>
  </w:style>
  <w:style w:type="table" w:styleId="TableGrid">
    <w:name w:val="Table Grid"/>
    <w:basedOn w:val="TableNormal"/>
    <w:uiPriority w:val="59"/>
    <w:rsid w:val="00C10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F3AC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3ACF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BF3AC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3A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3ACF"/>
    <w:rPr>
      <w:b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96C9F"/>
    <w:rPr>
      <w:rFonts w:ascii="Helvetica" w:hAnsi="Helvetica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996C9F"/>
    <w:rPr>
      <w:rFonts w:ascii="Helvetica" w:hAnsi="Helvetic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C66C9617</Template>
  <TotalTime>0</TotalTime>
  <Pages>4</Pages>
  <Words>820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Tina Scott</cp:lastModifiedBy>
  <cp:revision>3</cp:revision>
  <cp:lastPrinted>2009-10-27T10:17:00Z</cp:lastPrinted>
  <dcterms:created xsi:type="dcterms:W3CDTF">2018-02-19T11:27:00Z</dcterms:created>
  <dcterms:modified xsi:type="dcterms:W3CDTF">2018-02-20T10:22:00Z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