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1" w:rsidRPr="003F70E9" w:rsidRDefault="00594C01" w:rsidP="00C007C8">
      <w:pPr>
        <w:rPr>
          <w:rFonts w:asciiTheme="minorHAnsi" w:hAnsiTheme="minorHAnsi" w:cstheme="minorHAnsi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3F70E9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F70E9" w:rsidRDefault="00DE696E" w:rsidP="001F575A">
            <w:pPr>
              <w:pStyle w:val="Heading3"/>
              <w:rPr>
                <w:rFonts w:asciiTheme="minorHAnsi" w:hAnsiTheme="minorHAnsi" w:cstheme="minorHAnsi"/>
                <w:b w:val="0"/>
                <w:color w:val="FFFFFF"/>
                <w:szCs w:val="22"/>
              </w:rPr>
            </w:pPr>
            <w:r w:rsidRPr="003F70E9">
              <w:rPr>
                <w:rFonts w:asciiTheme="minorHAnsi" w:hAnsiTheme="minorHAnsi" w:cstheme="minorHAnsi"/>
                <w:color w:val="FFFFFF"/>
                <w:szCs w:val="22"/>
              </w:rPr>
              <w:t>JOB DESCRIPTION</w:t>
            </w:r>
          </w:p>
        </w:tc>
      </w:tr>
      <w:tr w:rsidR="00DE696E" w:rsidRPr="003F70E9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F70E9" w:rsidRDefault="00DE696E" w:rsidP="000C0840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Job title</w:t>
            </w:r>
            <w:r w:rsidRPr="003F70E9">
              <w:rPr>
                <w:rFonts w:asciiTheme="minorHAnsi" w:hAnsiTheme="minorHAnsi" w:cstheme="minorHAnsi"/>
                <w:szCs w:val="22"/>
              </w:rPr>
              <w:t>:</w:t>
            </w:r>
            <w:r w:rsidR="00687B6D" w:rsidRPr="003F70E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66827">
              <w:rPr>
                <w:rFonts w:asciiTheme="minorHAnsi" w:hAnsiTheme="minorHAnsi" w:cstheme="minorHAnsi"/>
                <w:szCs w:val="22"/>
              </w:rPr>
              <w:t>Communications Assistant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33C6" w:rsidRPr="003F70E9" w:rsidRDefault="00DE696E" w:rsidP="000C0840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Accountable to</w:t>
            </w:r>
            <w:r w:rsidRPr="003F70E9">
              <w:rPr>
                <w:rFonts w:asciiTheme="minorHAnsi" w:hAnsiTheme="minorHAnsi" w:cstheme="minorHAnsi"/>
                <w:szCs w:val="22"/>
              </w:rPr>
              <w:t>:</w:t>
            </w:r>
            <w:r w:rsidR="00687B6D" w:rsidRPr="003F70E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DE696E" w:rsidRPr="003F70E9" w:rsidRDefault="00D433C6" w:rsidP="000C0840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szCs w:val="22"/>
              </w:rPr>
              <w:t>Communications and Marketing Manager for Accommodation Services</w:t>
            </w:r>
          </w:p>
        </w:tc>
      </w:tr>
      <w:tr w:rsidR="00DE696E" w:rsidRPr="003F70E9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F70E9" w:rsidRDefault="00DE696E" w:rsidP="003D3432">
            <w:pPr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Contract length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C1A8F" w:rsidRPr="003F70E9">
              <w:rPr>
                <w:rFonts w:asciiTheme="minorHAnsi" w:hAnsiTheme="minorHAnsi" w:cstheme="minorHAnsi"/>
                <w:szCs w:val="22"/>
              </w:rPr>
              <w:t xml:space="preserve">Fixed Term one year 2 days a week.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F70E9" w:rsidRDefault="00DE696E" w:rsidP="001C6D22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Hours per week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59769D" w:rsidRPr="003F70E9">
              <w:rPr>
                <w:rFonts w:asciiTheme="minorHAnsi" w:hAnsiTheme="minorHAnsi" w:cstheme="minorHAnsi"/>
                <w:szCs w:val="22"/>
              </w:rPr>
              <w:t>1</w:t>
            </w:r>
            <w:r w:rsidR="00966994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F70E9" w:rsidRDefault="00DE696E" w:rsidP="001F575A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Weeks per year</w:t>
            </w:r>
            <w:r w:rsidRPr="003F70E9">
              <w:rPr>
                <w:rFonts w:asciiTheme="minorHAnsi" w:hAnsiTheme="minorHAnsi" w:cstheme="minorHAnsi"/>
                <w:szCs w:val="22"/>
              </w:rPr>
              <w:t>:</w:t>
            </w:r>
            <w:r w:rsidRPr="003F70E9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3F70E9">
              <w:rPr>
                <w:rFonts w:asciiTheme="minorHAnsi" w:hAnsiTheme="minorHAnsi" w:cstheme="minorHAnsi"/>
                <w:szCs w:val="22"/>
              </w:rPr>
              <w:t>52</w:t>
            </w:r>
          </w:p>
        </w:tc>
      </w:tr>
      <w:tr w:rsidR="00DE696E" w:rsidRPr="003F70E9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A8F" w:rsidRPr="003F70E9" w:rsidRDefault="00DE696E" w:rsidP="00CC1A8F">
            <w:p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Salary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C1A8F" w:rsidRPr="003F70E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£29,581 (spine point 20, grade 3).</w:t>
            </w:r>
          </w:p>
          <w:p w:rsidR="00DE696E" w:rsidRPr="003F70E9" w:rsidRDefault="00CC1A8F" w:rsidP="003D3432">
            <w:pPr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F70E9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(pro rata)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F70E9" w:rsidRDefault="00DE696E" w:rsidP="003D3432">
            <w:pPr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Grade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 </w:t>
            </w:r>
            <w:r w:rsidR="00CC1A8F" w:rsidRPr="003F70E9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DE696E" w:rsidRPr="003F70E9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F70E9" w:rsidRDefault="00DE696E" w:rsidP="003D3432">
            <w:pPr>
              <w:contextualSpacing/>
              <w:rPr>
                <w:rFonts w:asciiTheme="minorHAnsi" w:hAnsiTheme="minorHAnsi" w:cstheme="minorHAnsi"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bCs/>
                <w:szCs w:val="22"/>
              </w:rPr>
              <w:t>Service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C1A8F" w:rsidRPr="003F70E9">
              <w:rPr>
                <w:rFonts w:asciiTheme="minorHAnsi" w:hAnsiTheme="minorHAnsi" w:cstheme="minorHAnsi"/>
                <w:szCs w:val="22"/>
              </w:rPr>
              <w:t>Accommodation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F70E9" w:rsidRDefault="00DE696E" w:rsidP="003D3432">
            <w:pPr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3F70E9">
              <w:rPr>
                <w:rFonts w:asciiTheme="minorHAnsi" w:hAnsiTheme="minorHAnsi" w:cstheme="minorHAnsi"/>
                <w:b/>
                <w:szCs w:val="22"/>
              </w:rPr>
              <w:t>Location</w:t>
            </w:r>
            <w:r w:rsidRPr="003F70E9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CC1A8F" w:rsidRPr="003F70E9">
              <w:rPr>
                <w:rFonts w:asciiTheme="minorHAnsi" w:hAnsiTheme="minorHAnsi" w:cstheme="minorHAnsi"/>
                <w:szCs w:val="22"/>
              </w:rPr>
              <w:t>High Holborn, UAL.</w:t>
            </w:r>
          </w:p>
        </w:tc>
      </w:tr>
      <w:tr w:rsidR="003D3432" w:rsidRPr="003F70E9" w:rsidTr="000C0840">
        <w:tc>
          <w:tcPr>
            <w:tcW w:w="9214" w:type="dxa"/>
            <w:gridSpan w:val="3"/>
          </w:tcPr>
          <w:p w:rsidR="00D135E1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>What is</w:t>
            </w:r>
            <w:r w:rsidR="001C6D22" w:rsidRPr="003F70E9">
              <w:rPr>
                <w:rFonts w:asciiTheme="minorHAnsi" w:hAnsiTheme="minorHAnsi" w:cstheme="minorHAnsi"/>
                <w:b/>
              </w:rPr>
              <w:t>/Who are</w:t>
            </w:r>
            <w:r w:rsidR="00D135E1">
              <w:rPr>
                <w:rFonts w:asciiTheme="minorHAnsi" w:hAnsiTheme="minorHAnsi" w:cstheme="minorHAnsi"/>
                <w:b/>
              </w:rPr>
              <w:t xml:space="preserve"> Accommodation Services</w:t>
            </w:r>
          </w:p>
          <w:p w:rsidR="00D135E1" w:rsidRDefault="00D135E1" w:rsidP="000B4B43">
            <w:pPr>
              <w:spacing w:before="120" w:after="120"/>
              <w:rPr>
                <w:rFonts w:asciiTheme="minorHAnsi" w:hAnsiTheme="minorHAnsi" w:cstheme="minorHAnsi"/>
              </w:rPr>
            </w:pPr>
            <w:r w:rsidRPr="00D135E1">
              <w:rPr>
                <w:rFonts w:asciiTheme="minorHAnsi" w:hAnsiTheme="minorHAnsi" w:cstheme="minorHAnsi"/>
              </w:rPr>
              <w:t xml:space="preserve">Accommodation Services sit in the Operations and External Affairs department for University of Arts, London. The team is made up of in house Accommodation Advisors, a Private Accommodation Advisor, a 24-hour Residence team, a Social Programme, a Marketing team and a Summer Stays team. </w:t>
            </w:r>
          </w:p>
          <w:p w:rsidR="00D135E1" w:rsidRPr="00D135E1" w:rsidRDefault="00D135E1" w:rsidP="000B4B43">
            <w:pPr>
              <w:spacing w:before="120" w:after="120"/>
              <w:rPr>
                <w:rFonts w:asciiTheme="minorHAnsi" w:hAnsiTheme="minorHAnsi" w:cstheme="minorHAnsi"/>
              </w:rPr>
            </w:pPr>
            <w:r w:rsidRPr="00D135E1">
              <w:rPr>
                <w:rFonts w:asciiTheme="minorHAnsi" w:hAnsiTheme="minorHAnsi" w:cstheme="minorHAnsi"/>
              </w:rPr>
              <w:t>There are currently 3,400 rooms in 13 different halls of residences across London. Throughout the summer, some of these rooms are rented out to members of the public and students</w:t>
            </w:r>
            <w:r>
              <w:rPr>
                <w:rFonts w:asciiTheme="minorHAnsi" w:hAnsiTheme="minorHAnsi" w:cstheme="minorHAnsi"/>
              </w:rPr>
              <w:t xml:space="preserve"> on UAL short courses. </w:t>
            </w:r>
          </w:p>
        </w:tc>
      </w:tr>
      <w:tr w:rsidR="00594C01" w:rsidRPr="003F70E9" w:rsidTr="000C0840">
        <w:tc>
          <w:tcPr>
            <w:tcW w:w="9214" w:type="dxa"/>
            <w:gridSpan w:val="3"/>
          </w:tcPr>
          <w:p w:rsidR="00594C01" w:rsidRPr="003F70E9" w:rsidRDefault="003D3432" w:rsidP="000B4B4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>What is the purpose of the role?</w:t>
            </w:r>
          </w:p>
          <w:p w:rsidR="001C6D22" w:rsidRDefault="00966994" w:rsidP="00CC1A8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 are looking for a Communications Assistant to provide support to the Marketing and Summer Stays team in Accommodation Services. Social media, community management, editing and writing will be an important part of the job.</w:t>
            </w:r>
          </w:p>
          <w:p w:rsidR="00FD7A04" w:rsidRDefault="00FD7A04" w:rsidP="00CC1A8F">
            <w:pPr>
              <w:rPr>
                <w:rFonts w:asciiTheme="minorHAnsi" w:hAnsiTheme="minorHAnsi" w:cstheme="minorHAnsi"/>
                <w:szCs w:val="22"/>
              </w:rPr>
            </w:pPr>
          </w:p>
          <w:p w:rsidR="00FD7A04" w:rsidRDefault="00FD7A04" w:rsidP="00CC1A8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In this role you should be an excellent communicator with strong attention to detail, preferably with community management or social media skills. </w:t>
            </w:r>
          </w:p>
          <w:p w:rsidR="00FD7A04" w:rsidRDefault="00FD7A04" w:rsidP="00CC1A8F">
            <w:pPr>
              <w:rPr>
                <w:rFonts w:asciiTheme="minorHAnsi" w:hAnsiTheme="minorHAnsi" w:cstheme="minorHAnsi"/>
                <w:szCs w:val="22"/>
              </w:rPr>
            </w:pPr>
          </w:p>
          <w:p w:rsidR="00FD7A04" w:rsidRPr="003F70E9" w:rsidRDefault="00FD7A04" w:rsidP="00CC1A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Ultimately the main goal of the role holder will be to help grow the summer business messaging across all channels and grow potential sales leads.</w:t>
            </w:r>
          </w:p>
          <w:p w:rsidR="00CC1A8F" w:rsidRPr="003F70E9" w:rsidRDefault="00CC1A8F" w:rsidP="003D3432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594C01" w:rsidRPr="003F70E9" w:rsidTr="000C0840">
        <w:tc>
          <w:tcPr>
            <w:tcW w:w="9214" w:type="dxa"/>
            <w:gridSpan w:val="3"/>
          </w:tcPr>
          <w:p w:rsidR="00594C01" w:rsidRPr="003F70E9" w:rsidRDefault="00594C01" w:rsidP="000B4B4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>Duties and Responsibilities</w:t>
            </w:r>
          </w:p>
          <w:p w:rsidR="00860AA2" w:rsidRDefault="003F70E9" w:rsidP="00860AA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60AA2">
              <w:rPr>
                <w:rFonts w:asciiTheme="minorHAnsi" w:hAnsiTheme="minorHAnsi" w:cstheme="minorHAnsi"/>
                <w:color w:val="000000"/>
                <w:szCs w:val="22"/>
              </w:rPr>
              <w:t>Collaboratively </w:t>
            </w:r>
            <w:r w:rsidRPr="003F70E9">
              <w:rPr>
                <w:rFonts w:asciiTheme="minorHAnsi" w:hAnsiTheme="minorHAnsi" w:cstheme="minorHAnsi"/>
                <w:color w:val="000000"/>
                <w:szCs w:val="22"/>
              </w:rPr>
              <w:t>work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with</w:t>
            </w:r>
            <w:r w:rsidR="00860AA2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Marketing</w:t>
            </w:r>
            <w:r w:rsidR="00860AA2">
              <w:rPr>
                <w:rFonts w:asciiTheme="minorHAnsi" w:hAnsiTheme="minorHAnsi" w:cstheme="minorHAnsi"/>
                <w:color w:val="000000"/>
                <w:szCs w:val="22"/>
              </w:rPr>
              <w:t xml:space="preserve"> team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and Summer S</w:t>
            </w:r>
            <w:r w:rsidRPr="003F70E9">
              <w:rPr>
                <w:rFonts w:asciiTheme="minorHAnsi" w:hAnsiTheme="minorHAnsi" w:cstheme="minorHAnsi"/>
                <w:color w:val="000000"/>
                <w:szCs w:val="22"/>
              </w:rPr>
              <w:t xml:space="preserve">tays team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to </w:t>
            </w:r>
            <w:r w:rsidR="002E38FD">
              <w:rPr>
                <w:rFonts w:asciiTheme="minorHAnsi" w:hAnsiTheme="minorHAnsi" w:cstheme="minorHAnsi"/>
                <w:color w:val="000000"/>
                <w:szCs w:val="22"/>
              </w:rPr>
              <w:t>d</w:t>
            </w:r>
            <w:r w:rsidR="00860AA2" w:rsidRPr="00860AA2">
              <w:rPr>
                <w:rFonts w:asciiTheme="minorHAnsi" w:hAnsiTheme="minorHAnsi" w:cstheme="minorHAnsi"/>
                <w:color w:val="000000"/>
                <w:szCs w:val="22"/>
              </w:rPr>
              <w:t xml:space="preserve">evise </w:t>
            </w:r>
            <w:r w:rsidR="00966994">
              <w:rPr>
                <w:rFonts w:asciiTheme="minorHAnsi" w:hAnsiTheme="minorHAnsi" w:cstheme="minorHAnsi"/>
                <w:color w:val="000000"/>
                <w:szCs w:val="22"/>
              </w:rPr>
              <w:t>communications plan.</w:t>
            </w:r>
          </w:p>
          <w:p w:rsidR="00966994" w:rsidRPr="00966994" w:rsidRDefault="00966994" w:rsidP="00966994">
            <w:pPr>
              <w:numPr>
                <w:ilvl w:val="0"/>
                <w:numId w:val="3"/>
              </w:numPr>
              <w:rPr>
                <w:rFonts w:ascii="Calibri" w:hAnsi="Calibri" w:cs="Arial"/>
                <w:szCs w:val="22"/>
              </w:rPr>
            </w:pPr>
            <w:r w:rsidRPr="00551585">
              <w:rPr>
                <w:rFonts w:ascii="Calibri" w:hAnsi="Calibri" w:cs="Arial"/>
                <w:szCs w:val="22"/>
              </w:rPr>
              <w:t>Create and project lead engagement campaigns through multiple pl</w:t>
            </w:r>
            <w:r>
              <w:rPr>
                <w:rFonts w:ascii="Calibri" w:hAnsi="Calibri" w:cs="Arial"/>
                <w:szCs w:val="22"/>
              </w:rPr>
              <w:t xml:space="preserve">atforms including social media channels, and </w:t>
            </w:r>
            <w:r w:rsidRPr="00551585">
              <w:rPr>
                <w:rFonts w:ascii="Calibri" w:hAnsi="Calibri" w:cs="Arial"/>
                <w:szCs w:val="22"/>
              </w:rPr>
              <w:t xml:space="preserve">CMS systems.  </w:t>
            </w:r>
          </w:p>
          <w:p w:rsidR="00860AA2" w:rsidRPr="00860AA2" w:rsidRDefault="00860AA2" w:rsidP="00860AA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860AA2">
              <w:rPr>
                <w:rFonts w:asciiTheme="minorHAnsi" w:hAnsiTheme="minorHAnsi" w:cstheme="minorHAnsi"/>
                <w:bCs/>
                <w:color w:val="000000"/>
                <w:szCs w:val="22"/>
              </w:rPr>
              <w:t>Engage with online community and respond to comments and requests.</w:t>
            </w:r>
          </w:p>
          <w:p w:rsidR="00390D32" w:rsidRDefault="00390D32" w:rsidP="00860AA2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90D32">
              <w:rPr>
                <w:rFonts w:asciiTheme="minorHAnsi" w:hAnsiTheme="minorHAnsi" w:cstheme="minorHAnsi"/>
                <w:color w:val="000000"/>
                <w:szCs w:val="22"/>
              </w:rPr>
              <w:t>Create engaging content for all platforms, including blog articles, social media posts, newsletters, and videos.</w:t>
            </w:r>
          </w:p>
          <w:p w:rsidR="00860AA2" w:rsidRPr="00966994" w:rsidRDefault="00FB368F" w:rsidP="00966994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B368F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Use </w:t>
            </w:r>
            <w:r w:rsidR="0096699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Google </w:t>
            </w:r>
            <w:r w:rsidRPr="00FB368F">
              <w:rPr>
                <w:rFonts w:asciiTheme="minorHAnsi" w:hAnsiTheme="minorHAnsi" w:cstheme="minorHAnsi"/>
                <w:bCs/>
                <w:color w:val="000000"/>
                <w:szCs w:val="22"/>
              </w:rPr>
              <w:t>Analytics </w:t>
            </w:r>
            <w:r w:rsidR="00966994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and Sprout Social </w:t>
            </w:r>
            <w:r w:rsidRPr="00FB368F">
              <w:rPr>
                <w:rFonts w:asciiTheme="minorHAnsi" w:hAnsiTheme="minorHAnsi" w:cstheme="minorHAnsi"/>
                <w:color w:val="000000"/>
                <w:szCs w:val="22"/>
              </w:rPr>
              <w:t>to track and measure website and social media engagement</w:t>
            </w:r>
            <w:r w:rsidR="00966994">
              <w:rPr>
                <w:rFonts w:asciiTheme="minorHAnsi" w:hAnsiTheme="minorHAnsi" w:cstheme="minorHAnsi"/>
                <w:color w:val="000000"/>
                <w:szCs w:val="22"/>
              </w:rPr>
              <w:t xml:space="preserve"> and produce reports for </w:t>
            </w:r>
            <w:r w:rsidR="00966994" w:rsidRPr="003F70E9">
              <w:rPr>
                <w:rFonts w:asciiTheme="minorHAnsi" w:hAnsiTheme="minorHAnsi" w:cstheme="minorHAnsi"/>
                <w:color w:val="000000"/>
                <w:szCs w:val="22"/>
              </w:rPr>
              <w:t>internal stakeholders to r</w:t>
            </w:r>
            <w:r w:rsidR="00966994">
              <w:rPr>
                <w:rFonts w:asciiTheme="minorHAnsi" w:hAnsiTheme="minorHAnsi" w:cstheme="minorHAnsi"/>
                <w:color w:val="000000"/>
                <w:szCs w:val="22"/>
              </w:rPr>
              <w:t>elay customer feedback insights.</w:t>
            </w:r>
          </w:p>
          <w:p w:rsidR="00FB368F" w:rsidRPr="00860AA2" w:rsidRDefault="00FB368F" w:rsidP="00860AA2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 w:rsidRPr="00FB368F">
              <w:rPr>
                <w:rFonts w:asciiTheme="minorHAnsi" w:hAnsiTheme="minorHAnsi" w:cstheme="minorHAnsi"/>
                <w:bCs/>
                <w:color w:val="000000"/>
                <w:szCs w:val="22"/>
              </w:rPr>
              <w:t>Liaise with other departments to stay updated on new marketing initiatives, product and service developments, and to ensure brand consistency.</w:t>
            </w:r>
          </w:p>
          <w:p w:rsidR="00761FF2" w:rsidRDefault="00761FF2" w:rsidP="00860AA2">
            <w:pPr>
              <w:numPr>
                <w:ilvl w:val="0"/>
                <w:numId w:val="3"/>
              </w:numPr>
              <w:rPr>
                <w:rFonts w:ascii="Calibri" w:hAnsi="Calibri" w:cs="Arial"/>
                <w:szCs w:val="22"/>
              </w:rPr>
            </w:pPr>
            <w:r w:rsidRPr="0039372D">
              <w:rPr>
                <w:rFonts w:ascii="Calibri" w:hAnsi="Calibri" w:cs="Arial"/>
                <w:szCs w:val="22"/>
              </w:rPr>
              <w:lastRenderedPageBreak/>
              <w:t xml:space="preserve">Work with the </w:t>
            </w:r>
            <w:r w:rsidR="00966994">
              <w:rPr>
                <w:rFonts w:ascii="Calibri" w:hAnsi="Calibri" w:cs="Arial"/>
                <w:szCs w:val="22"/>
              </w:rPr>
              <w:t xml:space="preserve">UAL web and </w:t>
            </w:r>
            <w:r w:rsidRPr="0039372D">
              <w:rPr>
                <w:rFonts w:ascii="Calibri" w:hAnsi="Calibri" w:cs="Arial"/>
                <w:szCs w:val="22"/>
              </w:rPr>
              <w:t>digital team</w:t>
            </w:r>
            <w:r w:rsidR="00966994">
              <w:rPr>
                <w:rFonts w:ascii="Calibri" w:hAnsi="Calibri" w:cs="Arial"/>
                <w:szCs w:val="22"/>
              </w:rPr>
              <w:t>s, ensuring</w:t>
            </w:r>
            <w:r w:rsidRPr="0039372D">
              <w:rPr>
                <w:rFonts w:ascii="Calibri" w:hAnsi="Calibri" w:cs="Arial"/>
                <w:szCs w:val="22"/>
              </w:rPr>
              <w:t xml:space="preserve"> the website is fit-for-purpose and addresses marketing and student recruitment objectives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:rsidR="00966994" w:rsidRDefault="00966994" w:rsidP="00860AA2">
            <w:pPr>
              <w:numPr>
                <w:ilvl w:val="0"/>
                <w:numId w:val="3"/>
              </w:num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Upload content to hallslife.arts.ac.uk, working with student ambassadors and colleagues to ensure all content is up to date, practical and relevant. </w:t>
            </w:r>
          </w:p>
          <w:p w:rsidR="00966994" w:rsidRPr="0039372D" w:rsidRDefault="00966994" w:rsidP="00966994">
            <w:pPr>
              <w:numPr>
                <w:ilvl w:val="0"/>
                <w:numId w:val="3"/>
              </w:numPr>
              <w:rPr>
                <w:rFonts w:ascii="Calibri" w:hAnsi="Calibri" w:cs="Arial"/>
                <w:szCs w:val="22"/>
              </w:rPr>
            </w:pPr>
            <w:r w:rsidRPr="0039372D">
              <w:rPr>
                <w:rFonts w:ascii="Calibri" w:hAnsi="Calibri" w:cs="Arial"/>
                <w:szCs w:val="22"/>
              </w:rPr>
              <w:t xml:space="preserve">Be an ambassador of UAL’s reputation and brand ensuring both are protected and represented in line with established guidelines. </w:t>
            </w:r>
          </w:p>
          <w:p w:rsidR="00FD7A04" w:rsidRDefault="00FD7A04" w:rsidP="007166ED">
            <w:pPr>
              <w:rPr>
                <w:rFonts w:asciiTheme="minorHAnsi" w:hAnsiTheme="minorHAnsi" w:cstheme="minorHAnsi"/>
                <w:b/>
              </w:rPr>
            </w:pPr>
          </w:p>
          <w:p w:rsidR="0043188A" w:rsidRDefault="007166ED" w:rsidP="007166ED">
            <w:pPr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 xml:space="preserve">Objectives over the next </w:t>
            </w:r>
            <w:r w:rsidR="004B5332" w:rsidRPr="003F70E9">
              <w:rPr>
                <w:rFonts w:asciiTheme="minorHAnsi" w:hAnsiTheme="minorHAnsi" w:cstheme="minorHAnsi"/>
                <w:b/>
              </w:rPr>
              <w:t>year</w:t>
            </w:r>
          </w:p>
          <w:p w:rsidR="00336DA5" w:rsidRPr="00860AA2" w:rsidRDefault="00336DA5" w:rsidP="007166ED">
            <w:pPr>
              <w:rPr>
                <w:rFonts w:asciiTheme="minorHAnsi" w:hAnsiTheme="minorHAnsi" w:cstheme="minorHAnsi"/>
                <w:b/>
              </w:rPr>
            </w:pPr>
          </w:p>
          <w:p w:rsidR="007166ED" w:rsidRPr="00336DA5" w:rsidRDefault="007166ED" w:rsidP="00860AA2">
            <w:pPr>
              <w:pStyle w:val="BodyText2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336DA5">
              <w:rPr>
                <w:rFonts w:asciiTheme="minorHAnsi" w:hAnsiTheme="minorHAnsi" w:cstheme="minorHAnsi"/>
                <w:bCs/>
                <w:sz w:val="24"/>
              </w:rPr>
              <w:t>You are expected to work such hours as are reasonably necessary to fulfil the duties and responsibilities of the role.</w:t>
            </w:r>
          </w:p>
          <w:p w:rsidR="007166ED" w:rsidRPr="00336DA5" w:rsidRDefault="007166ED" w:rsidP="00860AA2">
            <w:pPr>
              <w:pStyle w:val="BodyText2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336DA5">
              <w:rPr>
                <w:rFonts w:asciiTheme="minorHAnsi" w:hAnsiTheme="minorHAnsi" w:cstheme="minorHAnsi"/>
                <w:bCs/>
                <w:sz w:val="24"/>
              </w:rPr>
              <w:t>You may be required to work such additional/different hours as may from time to time be necessary for the proper and efficient discharge of duties which may include evenings, Saturdays, Sundays and bank holidays.</w:t>
            </w:r>
          </w:p>
          <w:p w:rsidR="007166ED" w:rsidRPr="00336DA5" w:rsidRDefault="007166ED" w:rsidP="00860AA2">
            <w:pPr>
              <w:pStyle w:val="BodyText2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Cs/>
                <w:sz w:val="24"/>
              </w:rPr>
            </w:pPr>
            <w:r w:rsidRPr="00336DA5">
              <w:rPr>
                <w:rFonts w:asciiTheme="minorHAnsi" w:hAnsiTheme="minorHAnsi" w:cstheme="minorHAnsi"/>
                <w:bCs/>
                <w:sz w:val="24"/>
              </w:rPr>
              <w:t>You may be required to regularly travel to other sites as necessary.</w:t>
            </w:r>
          </w:p>
          <w:p w:rsidR="007166ED" w:rsidRPr="003F70E9" w:rsidRDefault="007166ED" w:rsidP="000B4B43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  <w:p w:rsidR="00DE696E" w:rsidRPr="003F70E9" w:rsidRDefault="00DE696E" w:rsidP="000B4B4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 xml:space="preserve">General </w:t>
            </w:r>
          </w:p>
          <w:p w:rsidR="00D62230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Assume other reasonable duties consistent with your role</w:t>
            </w:r>
            <w:r w:rsidR="009811B5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3F70E9">
              <w:rPr>
                <w:rFonts w:asciiTheme="minorHAnsi" w:hAnsiTheme="minorHAnsi" w:cstheme="minorHAnsi"/>
              </w:rPr>
              <w:t>which may be assigned to you anywhere within the University.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10E4">
              <w:rPr>
                <w:rFonts w:asciiTheme="minorHAnsi" w:hAnsiTheme="minorHAnsi" w:cstheme="minorHAnsi"/>
              </w:rPr>
              <w:t xml:space="preserve">To personally contribute towards reducing the university’s impact on the environment and support actions associated with the UAL Sustainability Manifesto 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Undertake health and safety duties and responsibilities appropriate to the role.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Work in accordance with the University’s Equal Opportunities Policy and the Staff Charter, promoting equality and diversity in your work.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:rsidR="00D62230" w:rsidRPr="003F70E9" w:rsidRDefault="00D62230" w:rsidP="00D6223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Conduct all financial matters associated with the role accordance to the University’s policies and procedures, as laid down in the Financial Regulations.</w:t>
            </w:r>
          </w:p>
          <w:p w:rsidR="00594C01" w:rsidRPr="00D62230" w:rsidRDefault="00594C01" w:rsidP="00D62230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594C01" w:rsidRPr="003F70E9" w:rsidTr="00150DEB">
        <w:trPr>
          <w:trHeight w:val="406"/>
        </w:trPr>
        <w:tc>
          <w:tcPr>
            <w:tcW w:w="9214" w:type="dxa"/>
            <w:gridSpan w:val="3"/>
          </w:tcPr>
          <w:p w:rsidR="00C36210" w:rsidRPr="003F70E9" w:rsidRDefault="00594C01" w:rsidP="000B4B43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  <w:b/>
              </w:rPr>
              <w:lastRenderedPageBreak/>
              <w:t>Key Working Relationships</w:t>
            </w:r>
          </w:p>
          <w:p w:rsidR="001C6D22" w:rsidRPr="0043188A" w:rsidRDefault="00CC1A8F" w:rsidP="006F67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Communications and Marketing Manager – Accommodation Services</w:t>
            </w:r>
          </w:p>
          <w:p w:rsidR="00CC1A8F" w:rsidRPr="0043188A" w:rsidRDefault="00CC1A8F" w:rsidP="006F67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Communications Executive – Accommodation Services</w:t>
            </w:r>
          </w:p>
          <w:p w:rsidR="00CC1A8F" w:rsidRPr="0043188A" w:rsidRDefault="00CC1A8F" w:rsidP="006F67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Interim Commercial Development Manager</w:t>
            </w:r>
          </w:p>
          <w:p w:rsidR="00CC1A8F" w:rsidRPr="0043188A" w:rsidRDefault="00CC1A8F" w:rsidP="006F67E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Guest Relations Coordinator</w:t>
            </w:r>
          </w:p>
          <w:p w:rsidR="00CC1A8F" w:rsidRPr="0043188A" w:rsidRDefault="00CC1A8F" w:rsidP="006F67E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Social Programme Team</w:t>
            </w:r>
          </w:p>
          <w:p w:rsidR="00CC1A8F" w:rsidRPr="0043188A" w:rsidRDefault="00CC1A8F" w:rsidP="006F67E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 xml:space="preserve">Accommodation Services Manager </w:t>
            </w:r>
          </w:p>
          <w:p w:rsidR="00CC1A8F" w:rsidRPr="0043188A" w:rsidRDefault="00CC1A8F" w:rsidP="006F67E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3188A">
              <w:rPr>
                <w:rFonts w:asciiTheme="minorHAnsi" w:hAnsiTheme="minorHAnsi" w:cstheme="minorHAnsi"/>
              </w:rPr>
              <w:t>Residence Managers and Operations Staff</w:t>
            </w:r>
          </w:p>
          <w:p w:rsidR="00CC1A8F" w:rsidRPr="003F70E9" w:rsidRDefault="00CC1A8F" w:rsidP="00CC1A8F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594C01" w:rsidRPr="003F70E9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t>Specific Management Responsibilities</w:t>
            </w:r>
          </w:p>
          <w:p w:rsidR="000B4B43" w:rsidRPr="003F70E9" w:rsidRDefault="00AC603B" w:rsidP="00D62230">
            <w:pPr>
              <w:spacing w:before="120" w:after="120"/>
              <w:rPr>
                <w:rFonts w:asciiTheme="minorHAnsi" w:hAnsiTheme="minorHAnsi" w:cstheme="minorHAnsi"/>
              </w:rPr>
            </w:pPr>
            <w:r w:rsidRPr="00AC603B">
              <w:rPr>
                <w:rFonts w:asciiTheme="minorHAnsi" w:hAnsiTheme="minorHAnsi" w:cstheme="minorHAnsi"/>
              </w:rPr>
              <w:t>N/A.</w:t>
            </w:r>
            <w:r w:rsidR="006F53E4" w:rsidRPr="003F70E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69"/>
      </w:tblGrid>
      <w:tr w:rsidR="00DE696E" w:rsidRPr="003F70E9" w:rsidTr="00D62230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DE696E" w:rsidRPr="003F70E9" w:rsidRDefault="00815AAD" w:rsidP="00815AA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F70E9">
              <w:rPr>
                <w:rFonts w:asciiTheme="minorHAnsi" w:hAnsiTheme="minorHAnsi" w:cstheme="minorHAnsi"/>
                <w:b/>
              </w:rPr>
              <w:lastRenderedPageBreak/>
              <w:t>PERSON SPECIFICATION</w:t>
            </w:r>
          </w:p>
          <w:p w:rsidR="00431B5B" w:rsidRPr="003F70E9" w:rsidRDefault="00431B5B" w:rsidP="00815AAD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</w:p>
        </w:tc>
      </w:tr>
      <w:tr w:rsidR="00DE696E" w:rsidRPr="003F70E9" w:rsidTr="00D62230">
        <w:tc>
          <w:tcPr>
            <w:tcW w:w="3747" w:type="dxa"/>
          </w:tcPr>
          <w:p w:rsidR="00DE696E" w:rsidRPr="003F70E9" w:rsidRDefault="00DE696E" w:rsidP="001F57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Specialist Knowledge/Qualifications</w:t>
            </w:r>
          </w:p>
        </w:tc>
        <w:tc>
          <w:tcPr>
            <w:tcW w:w="5269" w:type="dxa"/>
          </w:tcPr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Experience of digital communication/social media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 xml:space="preserve">Social Media analysis 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Use of a Social Media scheduler e.g. Sprout Social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Active interest in digital marketing trends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Knowledge of Adobe Creative Suite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Photoshop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Knowledge of Google Analytics</w:t>
            </w:r>
          </w:p>
          <w:p w:rsidR="00AC603B" w:rsidRPr="0043188A" w:rsidRDefault="00AC603B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Degree in Marketing, Media or English desirable</w:t>
            </w:r>
          </w:p>
          <w:p w:rsidR="00DE696E" w:rsidRPr="00AC603B" w:rsidRDefault="00DE696E" w:rsidP="00AC603B">
            <w:pPr>
              <w:shd w:val="clear" w:color="auto" w:fill="FFFFFF"/>
              <w:spacing w:before="120" w:after="120"/>
              <w:ind w:left="360"/>
              <w:rPr>
                <w:rFonts w:ascii="Calibri" w:hAnsi="Calibri" w:cs="Calibri"/>
                <w:color w:val="141415"/>
                <w:sz w:val="22"/>
              </w:rPr>
            </w:pPr>
          </w:p>
          <w:p w:rsidR="00603E81" w:rsidRPr="00AC603B" w:rsidRDefault="00603E81" w:rsidP="00AC603B">
            <w:pPr>
              <w:shd w:val="clear" w:color="auto" w:fill="FFFFFF"/>
              <w:spacing w:before="120" w:after="120"/>
              <w:ind w:left="360"/>
              <w:rPr>
                <w:rFonts w:ascii="Calibri" w:hAnsi="Calibri" w:cs="Calibri"/>
                <w:color w:val="141415"/>
                <w:sz w:val="22"/>
              </w:rPr>
            </w:pPr>
          </w:p>
        </w:tc>
      </w:tr>
      <w:tr w:rsidR="00DE696E" w:rsidRPr="003F70E9" w:rsidTr="00D62230">
        <w:tc>
          <w:tcPr>
            <w:tcW w:w="3747" w:type="dxa"/>
          </w:tcPr>
          <w:p w:rsidR="00DE696E" w:rsidRPr="003F70E9" w:rsidRDefault="00DE696E" w:rsidP="001F575A">
            <w:p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Relevant Experience</w:t>
            </w:r>
          </w:p>
        </w:tc>
        <w:tc>
          <w:tcPr>
            <w:tcW w:w="5269" w:type="dxa"/>
          </w:tcPr>
          <w:p w:rsidR="003F70E9" w:rsidRPr="0043188A" w:rsidRDefault="003F70E9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Previous experience working as a community manager in a similar role or alternatively a background in social media ideally from a similar industry.</w:t>
            </w:r>
          </w:p>
          <w:p w:rsidR="003F70E9" w:rsidRPr="0043188A" w:rsidRDefault="003F70E9" w:rsidP="006F67EE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Calibri" w:hAnsi="Calibri" w:cs="Calibri"/>
                <w:color w:val="141415"/>
                <w:szCs w:val="24"/>
              </w:rPr>
            </w:pPr>
            <w:r w:rsidRPr="0043188A">
              <w:rPr>
                <w:rFonts w:ascii="Calibri" w:hAnsi="Calibri" w:cs="Calibri"/>
                <w:color w:val="141415"/>
                <w:szCs w:val="24"/>
              </w:rPr>
              <w:t>Must have a cutting-edge interest in social med</w:t>
            </w:r>
            <w:r w:rsidR="00AC603B" w:rsidRPr="0043188A">
              <w:rPr>
                <w:rFonts w:ascii="Calibri" w:hAnsi="Calibri" w:cs="Calibri"/>
                <w:color w:val="141415"/>
                <w:szCs w:val="24"/>
              </w:rPr>
              <w:t>ia and be abreast with the fast-</w:t>
            </w:r>
            <w:r w:rsidRPr="0043188A">
              <w:rPr>
                <w:rFonts w:ascii="Calibri" w:hAnsi="Calibri" w:cs="Calibri"/>
                <w:color w:val="141415"/>
                <w:szCs w:val="24"/>
              </w:rPr>
              <w:t>changing nature of social media and ensuring that new opportunities for engaging with customers are realised.</w:t>
            </w:r>
          </w:p>
          <w:p w:rsidR="00603E81" w:rsidRPr="00AC603B" w:rsidRDefault="00603E81" w:rsidP="007128A1">
            <w:pPr>
              <w:spacing w:before="120"/>
              <w:rPr>
                <w:rFonts w:ascii="Calibri" w:hAnsi="Calibri" w:cs="Calibri"/>
                <w:sz w:val="22"/>
              </w:rPr>
            </w:pPr>
          </w:p>
        </w:tc>
      </w:tr>
      <w:tr w:rsidR="00DE696E" w:rsidRPr="003F70E9" w:rsidTr="00D62230">
        <w:tc>
          <w:tcPr>
            <w:tcW w:w="3747" w:type="dxa"/>
            <w:vAlign w:val="center"/>
          </w:tcPr>
          <w:p w:rsidR="00DE696E" w:rsidRPr="003F70E9" w:rsidRDefault="00DE696E" w:rsidP="001F57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5269" w:type="dxa"/>
            <w:vAlign w:val="center"/>
          </w:tcPr>
          <w:p w:rsidR="00D62230" w:rsidRPr="00330E6B" w:rsidRDefault="00D62230" w:rsidP="00D62230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</w:rPr>
            </w:pPr>
            <w:r w:rsidRPr="00330E6B">
              <w:rPr>
                <w:rFonts w:ascii="Calibri" w:hAnsi="Calibri" w:cs="Arial"/>
                <w:color w:val="000000"/>
              </w:rPr>
              <w:t>Strong written and verbal communication skills, with excellent ability to write in plain English</w:t>
            </w:r>
          </w:p>
          <w:p w:rsidR="00D62230" w:rsidRPr="00330E6B" w:rsidRDefault="00D62230" w:rsidP="00D62230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</w:rPr>
            </w:pPr>
            <w:r w:rsidRPr="00330E6B">
              <w:rPr>
                <w:rFonts w:ascii="Calibri" w:hAnsi="Calibri" w:cs="Arial"/>
                <w:color w:val="000000"/>
              </w:rPr>
              <w:t xml:space="preserve">Good interpersonal skills, with the ability to build strong working relationships </w:t>
            </w:r>
          </w:p>
          <w:p w:rsidR="00D62230" w:rsidRPr="00330E6B" w:rsidRDefault="00D62230" w:rsidP="00D62230">
            <w:pPr>
              <w:numPr>
                <w:ilvl w:val="0"/>
                <w:numId w:val="8"/>
              </w:numPr>
              <w:rPr>
                <w:rFonts w:ascii="Calibri" w:hAnsi="Calibri" w:cs="Arial"/>
                <w:color w:val="000000"/>
              </w:rPr>
            </w:pPr>
            <w:r w:rsidRPr="00330E6B">
              <w:rPr>
                <w:rFonts w:ascii="Calibri" w:hAnsi="Calibri" w:cs="Arial"/>
                <w:color w:val="000000"/>
              </w:rPr>
              <w:t>Communicates effectively orally and in writing adapting the message for a diverse audience in an inclusive and accessible way</w:t>
            </w:r>
          </w:p>
          <w:p w:rsidR="00D62230" w:rsidRPr="00330E6B" w:rsidRDefault="00D62230" w:rsidP="00D6223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color w:val="000000"/>
              </w:rPr>
            </w:pPr>
            <w:r w:rsidRPr="00330E6B">
              <w:rPr>
                <w:rFonts w:ascii="Calibri" w:hAnsi="Calibri" w:cs="Arial"/>
                <w:color w:val="000000"/>
              </w:rPr>
              <w:t xml:space="preserve">Excellent writing skills with demonstrable experience of writing copy for impactful communications  </w:t>
            </w:r>
          </w:p>
          <w:p w:rsidR="00603E81" w:rsidRPr="003F70E9" w:rsidRDefault="00603E81" w:rsidP="00603E8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96E" w:rsidRPr="003F70E9" w:rsidTr="00D62230">
        <w:tc>
          <w:tcPr>
            <w:tcW w:w="3747" w:type="dxa"/>
            <w:vAlign w:val="center"/>
          </w:tcPr>
          <w:p w:rsidR="00DE696E" w:rsidRPr="003F70E9" w:rsidRDefault="00DE696E" w:rsidP="001F57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 xml:space="preserve">Professional Practice </w:t>
            </w:r>
          </w:p>
        </w:tc>
        <w:tc>
          <w:tcPr>
            <w:tcW w:w="5269" w:type="dxa"/>
            <w:vAlign w:val="center"/>
          </w:tcPr>
          <w:p w:rsidR="00AC603B" w:rsidRPr="0043188A" w:rsidRDefault="00AC603B" w:rsidP="0043188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</w:rPr>
            </w:pPr>
            <w:r w:rsidRPr="0043188A">
              <w:rPr>
                <w:rFonts w:ascii="Calibri" w:eastAsia="Calibri" w:hAnsi="Calibri" w:cs="Arial"/>
              </w:rPr>
              <w:t>Effectively delivers basic training or briefings to support understanding or learning</w:t>
            </w:r>
          </w:p>
          <w:p w:rsidR="00603E81" w:rsidRPr="003F70E9" w:rsidRDefault="00603E81" w:rsidP="00A2502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96E" w:rsidRPr="003F70E9" w:rsidTr="00D62230">
        <w:tc>
          <w:tcPr>
            <w:tcW w:w="3747" w:type="dxa"/>
            <w:vAlign w:val="center"/>
          </w:tcPr>
          <w:p w:rsidR="00DE696E" w:rsidRPr="003F70E9" w:rsidRDefault="00DE696E" w:rsidP="001F575A">
            <w:p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Planning and Managing Resources</w:t>
            </w:r>
          </w:p>
        </w:tc>
        <w:tc>
          <w:tcPr>
            <w:tcW w:w="5269" w:type="dxa"/>
            <w:vAlign w:val="center"/>
          </w:tcPr>
          <w:p w:rsidR="00AC603B" w:rsidRPr="00D62230" w:rsidRDefault="00D62230" w:rsidP="003E3960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color w:val="000000"/>
              </w:rPr>
            </w:pPr>
            <w:r w:rsidRPr="00D62230">
              <w:rPr>
                <w:rFonts w:ascii="Calibri" w:hAnsi="Calibri" w:cs="Arial"/>
                <w:color w:val="000000"/>
              </w:rPr>
              <w:t xml:space="preserve">Plans, prioritises and manages resources effectively to achieve </w:t>
            </w:r>
            <w:r w:rsidRPr="00D62230">
              <w:rPr>
                <w:rFonts w:ascii="Calibri" w:eastAsia="Calibri" w:hAnsi="Calibri" w:cs="Arial"/>
                <w:color w:val="000000"/>
              </w:rPr>
              <w:t>a</w:t>
            </w:r>
            <w:r w:rsidR="00AC603B" w:rsidRPr="00D62230">
              <w:rPr>
                <w:rFonts w:ascii="Calibri" w:eastAsia="Calibri" w:hAnsi="Calibri" w:cs="Arial"/>
                <w:color w:val="000000"/>
              </w:rPr>
              <w:t xml:space="preserve"> positive and responsive student or customer service. </w:t>
            </w:r>
          </w:p>
          <w:p w:rsidR="00603E81" w:rsidRPr="003F70E9" w:rsidRDefault="00603E81" w:rsidP="00815AAD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:rsidR="00603E81" w:rsidRPr="003F70E9" w:rsidRDefault="00603E81" w:rsidP="00815AAD">
            <w:pPr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96E" w:rsidRPr="003F70E9" w:rsidTr="00D62230">
        <w:tc>
          <w:tcPr>
            <w:tcW w:w="3747" w:type="dxa"/>
            <w:vAlign w:val="center"/>
          </w:tcPr>
          <w:p w:rsidR="00DE696E" w:rsidRPr="003F70E9" w:rsidRDefault="00DE696E" w:rsidP="007128A1">
            <w:pPr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lastRenderedPageBreak/>
              <w:t>Teamwork</w:t>
            </w:r>
          </w:p>
        </w:tc>
        <w:tc>
          <w:tcPr>
            <w:tcW w:w="5269" w:type="dxa"/>
            <w:vAlign w:val="center"/>
          </w:tcPr>
          <w:p w:rsidR="00AC603B" w:rsidRPr="0043188A" w:rsidRDefault="00AC603B" w:rsidP="0043188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  <w:color w:val="000000"/>
              </w:rPr>
            </w:pPr>
            <w:r w:rsidRPr="0043188A">
              <w:rPr>
                <w:rFonts w:ascii="Calibri" w:eastAsia="Calibri" w:hAnsi="Calibri" w:cs="Arial"/>
                <w:color w:val="000000"/>
              </w:rPr>
              <w:t>Works collaboratively in a team or with different professional groups</w:t>
            </w:r>
          </w:p>
          <w:p w:rsidR="00DE696E" w:rsidRPr="003F70E9" w:rsidRDefault="00DE696E" w:rsidP="007128A1">
            <w:pPr>
              <w:rPr>
                <w:rFonts w:asciiTheme="minorHAnsi" w:hAnsiTheme="minorHAnsi" w:cstheme="minorHAnsi"/>
                <w:color w:val="000000"/>
              </w:rPr>
            </w:pPr>
          </w:p>
          <w:p w:rsidR="00603E81" w:rsidRPr="003F70E9" w:rsidRDefault="00603E81" w:rsidP="007128A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96E" w:rsidRPr="003F70E9" w:rsidTr="00D62230">
        <w:tc>
          <w:tcPr>
            <w:tcW w:w="3747" w:type="dxa"/>
            <w:vAlign w:val="center"/>
          </w:tcPr>
          <w:p w:rsidR="00DE696E" w:rsidRPr="003F70E9" w:rsidRDefault="00DE696E" w:rsidP="001F575A">
            <w:pPr>
              <w:spacing w:before="120" w:after="120"/>
              <w:rPr>
                <w:rFonts w:asciiTheme="minorHAnsi" w:hAnsiTheme="minorHAnsi" w:cstheme="minorHAnsi"/>
              </w:rPr>
            </w:pPr>
            <w:r w:rsidRPr="003F70E9">
              <w:rPr>
                <w:rFonts w:asciiTheme="minorHAnsi" w:hAnsiTheme="minorHAnsi" w:cstheme="minorHAnsi"/>
              </w:rPr>
              <w:t>Creativity, Innovation and Problem Solving</w:t>
            </w:r>
          </w:p>
        </w:tc>
        <w:tc>
          <w:tcPr>
            <w:tcW w:w="5269" w:type="dxa"/>
            <w:vAlign w:val="center"/>
          </w:tcPr>
          <w:p w:rsidR="00AC603B" w:rsidRPr="0043188A" w:rsidRDefault="00AC603B" w:rsidP="0043188A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Arial"/>
                <w:color w:val="000000"/>
              </w:rPr>
            </w:pPr>
            <w:r w:rsidRPr="0043188A">
              <w:rPr>
                <w:rFonts w:ascii="Calibri" w:eastAsia="Calibri" w:hAnsi="Calibri" w:cs="Arial"/>
                <w:color w:val="000000"/>
              </w:rPr>
              <w:t>Uses initiative or creativity to resolve day-to-day-problems</w:t>
            </w:r>
          </w:p>
          <w:p w:rsidR="00DE696E" w:rsidRPr="003F70E9" w:rsidRDefault="00DE696E" w:rsidP="001F575A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03E81" w:rsidRPr="003F70E9" w:rsidRDefault="00603E81" w:rsidP="00DE696E">
      <w:pPr>
        <w:spacing w:before="120"/>
        <w:rPr>
          <w:rFonts w:asciiTheme="minorHAnsi" w:hAnsiTheme="minorHAnsi" w:cstheme="minorHAnsi"/>
          <w:bCs/>
        </w:rPr>
      </w:pPr>
    </w:p>
    <w:p w:rsidR="001C6D22" w:rsidRPr="003F70E9" w:rsidRDefault="00DE696E" w:rsidP="00DE696E">
      <w:pPr>
        <w:spacing w:before="120"/>
        <w:rPr>
          <w:rFonts w:asciiTheme="minorHAnsi" w:hAnsiTheme="minorHAnsi" w:cstheme="minorHAnsi"/>
          <w:bCs/>
        </w:rPr>
      </w:pPr>
      <w:r w:rsidRPr="003F70E9">
        <w:rPr>
          <w:rFonts w:asciiTheme="minorHAnsi" w:hAnsiTheme="minorHAnsi" w:cstheme="minorHAnsi"/>
          <w:bCs/>
        </w:rPr>
        <w:t>Please make sure you provide evidence to demonstrate clearly how you meet these criteria</w:t>
      </w:r>
      <w:r w:rsidR="00603E81" w:rsidRPr="003F70E9">
        <w:rPr>
          <w:rFonts w:asciiTheme="minorHAnsi" w:hAnsiTheme="minorHAnsi" w:cstheme="minorHAnsi"/>
          <w:bCs/>
        </w:rPr>
        <w:t xml:space="preserve">, </w:t>
      </w:r>
      <w:r w:rsidR="00603E81" w:rsidRPr="003F70E9">
        <w:rPr>
          <w:rFonts w:asciiTheme="minorHAnsi" w:hAnsiTheme="minorHAnsi" w:cstheme="minorHAnsi"/>
          <w:b/>
          <w:bCs/>
        </w:rPr>
        <w:t>which are all essential unless marked otherwise</w:t>
      </w:r>
      <w:r w:rsidR="00603E81" w:rsidRPr="003F70E9">
        <w:rPr>
          <w:rFonts w:asciiTheme="minorHAnsi" w:hAnsiTheme="minorHAnsi" w:cstheme="minorHAnsi"/>
          <w:bCs/>
        </w:rPr>
        <w:t>.</w:t>
      </w:r>
      <w:r w:rsidR="001C6D22" w:rsidRPr="003F70E9">
        <w:rPr>
          <w:rFonts w:asciiTheme="minorHAnsi" w:hAnsiTheme="minorHAnsi" w:cstheme="minorHAnsi"/>
          <w:bCs/>
        </w:rPr>
        <w:t xml:space="preserve"> Shortlisting will be based on your responses</w:t>
      </w:r>
      <w:r w:rsidRPr="003F70E9">
        <w:rPr>
          <w:rFonts w:asciiTheme="minorHAnsi" w:hAnsiTheme="minorHAnsi" w:cstheme="minorHAnsi"/>
          <w:bCs/>
        </w:rPr>
        <w:t xml:space="preserve">. </w:t>
      </w:r>
    </w:p>
    <w:p w:rsidR="00FC2F78" w:rsidRPr="003F70E9" w:rsidRDefault="00FC2F78" w:rsidP="00DE696E">
      <w:pPr>
        <w:spacing w:before="120"/>
        <w:rPr>
          <w:rFonts w:asciiTheme="minorHAnsi" w:hAnsiTheme="minorHAnsi" w:cstheme="minorHAnsi"/>
        </w:rPr>
      </w:pPr>
    </w:p>
    <w:p w:rsidR="00DE696E" w:rsidRPr="003F70E9" w:rsidRDefault="00DE696E" w:rsidP="00DE696E">
      <w:pPr>
        <w:spacing w:before="120"/>
        <w:rPr>
          <w:rFonts w:asciiTheme="minorHAnsi" w:hAnsiTheme="minorHAnsi" w:cstheme="minorHAnsi"/>
        </w:rPr>
      </w:pPr>
      <w:r w:rsidRPr="003F70E9">
        <w:rPr>
          <w:rFonts w:asciiTheme="minorHAnsi" w:hAnsiTheme="minorHAnsi" w:cstheme="minorHAnsi"/>
        </w:rPr>
        <w:t xml:space="preserve">Last updated: </w:t>
      </w:r>
      <w:r w:rsidR="00782106">
        <w:rPr>
          <w:rFonts w:asciiTheme="minorHAnsi" w:hAnsiTheme="minorHAnsi" w:cstheme="minorHAnsi"/>
        </w:rPr>
        <w:t>October 2018.</w:t>
      </w:r>
    </w:p>
    <w:p w:rsidR="004333A8" w:rsidRPr="003F70E9" w:rsidRDefault="004333A8" w:rsidP="00C007C8">
      <w:pPr>
        <w:rPr>
          <w:rFonts w:asciiTheme="minorHAnsi" w:hAnsiTheme="minorHAnsi" w:cstheme="minorHAnsi"/>
        </w:rPr>
      </w:pPr>
    </w:p>
    <w:p w:rsidR="00594C01" w:rsidRPr="003F70E9" w:rsidRDefault="00594C01" w:rsidP="00C007C8">
      <w:pPr>
        <w:rPr>
          <w:rFonts w:asciiTheme="minorHAnsi" w:hAnsiTheme="minorHAnsi" w:cstheme="minorHAnsi"/>
        </w:rPr>
      </w:pPr>
    </w:p>
    <w:sectPr w:rsidR="00594C01" w:rsidRPr="003F70E9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DA" w:rsidRDefault="00D21EDA">
      <w:r>
        <w:separator/>
      </w:r>
    </w:p>
  </w:endnote>
  <w:endnote w:type="continuationSeparator" w:id="0">
    <w:p w:rsidR="00D21EDA" w:rsidRDefault="00D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DA" w:rsidRDefault="00D21EDA">
      <w:r>
        <w:separator/>
      </w:r>
    </w:p>
  </w:footnote>
  <w:footnote w:type="continuationSeparator" w:id="0">
    <w:p w:rsidR="00D21EDA" w:rsidRDefault="00D2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3C" w:rsidRDefault="00A6413C">
    <w:pPr>
      <w:pStyle w:val="Header"/>
    </w:pPr>
    <w:r w:rsidRPr="005D7A28"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A0871"/>
    <w:multiLevelType w:val="multilevel"/>
    <w:tmpl w:val="2E56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56D51"/>
    <w:multiLevelType w:val="hybridMultilevel"/>
    <w:tmpl w:val="BC5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5AB6"/>
    <w:multiLevelType w:val="hybridMultilevel"/>
    <w:tmpl w:val="A2E6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4DB1"/>
    <w:multiLevelType w:val="multilevel"/>
    <w:tmpl w:val="69F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3F2070"/>
    <w:multiLevelType w:val="hybridMultilevel"/>
    <w:tmpl w:val="1F44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C437D"/>
    <w:multiLevelType w:val="multilevel"/>
    <w:tmpl w:val="BC9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92274"/>
    <w:rsid w:val="001C6D22"/>
    <w:rsid w:val="001D0B67"/>
    <w:rsid w:val="001E4779"/>
    <w:rsid w:val="001F490C"/>
    <w:rsid w:val="00262E2D"/>
    <w:rsid w:val="00265D84"/>
    <w:rsid w:val="00267073"/>
    <w:rsid w:val="00273FAC"/>
    <w:rsid w:val="0027651F"/>
    <w:rsid w:val="00284B93"/>
    <w:rsid w:val="00286686"/>
    <w:rsid w:val="00291B19"/>
    <w:rsid w:val="00296584"/>
    <w:rsid w:val="002B6219"/>
    <w:rsid w:val="002B7662"/>
    <w:rsid w:val="002C2DE7"/>
    <w:rsid w:val="002E38FD"/>
    <w:rsid w:val="00317BFE"/>
    <w:rsid w:val="00336DA5"/>
    <w:rsid w:val="00390BBB"/>
    <w:rsid w:val="00390D32"/>
    <w:rsid w:val="003B2633"/>
    <w:rsid w:val="003B3CE6"/>
    <w:rsid w:val="003C2E1D"/>
    <w:rsid w:val="003D3432"/>
    <w:rsid w:val="003D5FCE"/>
    <w:rsid w:val="003E3AE4"/>
    <w:rsid w:val="003F70E9"/>
    <w:rsid w:val="003F77DF"/>
    <w:rsid w:val="0040142F"/>
    <w:rsid w:val="00403C33"/>
    <w:rsid w:val="0043188A"/>
    <w:rsid w:val="00431B5B"/>
    <w:rsid w:val="004333A8"/>
    <w:rsid w:val="00461E60"/>
    <w:rsid w:val="004816C6"/>
    <w:rsid w:val="004879C9"/>
    <w:rsid w:val="004B5332"/>
    <w:rsid w:val="004D3601"/>
    <w:rsid w:val="004E3268"/>
    <w:rsid w:val="00504901"/>
    <w:rsid w:val="0051790B"/>
    <w:rsid w:val="00520FE9"/>
    <w:rsid w:val="00525DF6"/>
    <w:rsid w:val="0053123A"/>
    <w:rsid w:val="00551585"/>
    <w:rsid w:val="00556B30"/>
    <w:rsid w:val="00560860"/>
    <w:rsid w:val="005608FB"/>
    <w:rsid w:val="00570A89"/>
    <w:rsid w:val="00570BB1"/>
    <w:rsid w:val="00576313"/>
    <w:rsid w:val="00594C01"/>
    <w:rsid w:val="0059769D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6F67EE"/>
    <w:rsid w:val="007128A1"/>
    <w:rsid w:val="007166ED"/>
    <w:rsid w:val="00730D34"/>
    <w:rsid w:val="007315B3"/>
    <w:rsid w:val="0074462C"/>
    <w:rsid w:val="00751837"/>
    <w:rsid w:val="00761FF2"/>
    <w:rsid w:val="0077219C"/>
    <w:rsid w:val="00782106"/>
    <w:rsid w:val="00796DAE"/>
    <w:rsid w:val="008100BB"/>
    <w:rsid w:val="00815AAD"/>
    <w:rsid w:val="008217DE"/>
    <w:rsid w:val="00844A9D"/>
    <w:rsid w:val="00860AA2"/>
    <w:rsid w:val="0086380C"/>
    <w:rsid w:val="00877BBA"/>
    <w:rsid w:val="008D390B"/>
    <w:rsid w:val="008E430C"/>
    <w:rsid w:val="008F6039"/>
    <w:rsid w:val="00934B07"/>
    <w:rsid w:val="009438D6"/>
    <w:rsid w:val="009557D4"/>
    <w:rsid w:val="00966994"/>
    <w:rsid w:val="009741B1"/>
    <w:rsid w:val="0097624E"/>
    <w:rsid w:val="009811B5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C603B"/>
    <w:rsid w:val="00AD5C3D"/>
    <w:rsid w:val="00AF0EA0"/>
    <w:rsid w:val="00AF6C2A"/>
    <w:rsid w:val="00B06ABB"/>
    <w:rsid w:val="00B26E52"/>
    <w:rsid w:val="00B4142B"/>
    <w:rsid w:val="00B67FB4"/>
    <w:rsid w:val="00BC730C"/>
    <w:rsid w:val="00BE115C"/>
    <w:rsid w:val="00C007C8"/>
    <w:rsid w:val="00C36210"/>
    <w:rsid w:val="00C41ED9"/>
    <w:rsid w:val="00C54E60"/>
    <w:rsid w:val="00C74767"/>
    <w:rsid w:val="00CC1A8F"/>
    <w:rsid w:val="00CD1530"/>
    <w:rsid w:val="00CE2F41"/>
    <w:rsid w:val="00D1149C"/>
    <w:rsid w:val="00D135E1"/>
    <w:rsid w:val="00D21CDF"/>
    <w:rsid w:val="00D21EDA"/>
    <w:rsid w:val="00D26B1F"/>
    <w:rsid w:val="00D27FC8"/>
    <w:rsid w:val="00D433C6"/>
    <w:rsid w:val="00D62230"/>
    <w:rsid w:val="00D6418D"/>
    <w:rsid w:val="00D87564"/>
    <w:rsid w:val="00DE696E"/>
    <w:rsid w:val="00E00A83"/>
    <w:rsid w:val="00E10084"/>
    <w:rsid w:val="00E16EF2"/>
    <w:rsid w:val="00E46D94"/>
    <w:rsid w:val="00E62E0A"/>
    <w:rsid w:val="00E66827"/>
    <w:rsid w:val="00EB1A74"/>
    <w:rsid w:val="00EC1698"/>
    <w:rsid w:val="00F020B4"/>
    <w:rsid w:val="00F332A8"/>
    <w:rsid w:val="00F419E5"/>
    <w:rsid w:val="00FB368F"/>
    <w:rsid w:val="00FB43F5"/>
    <w:rsid w:val="00FC2F78"/>
    <w:rsid w:val="00FD4792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8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character" w:customStyle="1" w:styleId="Heading1Char">
    <w:name w:val="Heading 1 Char"/>
    <w:link w:val="Heading1"/>
    <w:rsid w:val="00CC1A8F"/>
    <w:rPr>
      <w:rFonts w:ascii="Arial" w:hAnsi="Arial" w:cs="Arial"/>
      <w:b/>
      <w:sz w:val="20"/>
    </w:rPr>
  </w:style>
  <w:style w:type="character" w:styleId="Strong">
    <w:name w:val="Strong"/>
    <w:basedOn w:val="DefaultParagraphFont"/>
    <w:uiPriority w:val="22"/>
    <w:qFormat/>
    <w:rsid w:val="003F7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5B32-CAD9-4DB3-A31C-5FDEC47A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934</Words>
  <Characters>5330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Pragna Dharmasena</cp:lastModifiedBy>
  <cp:revision>2</cp:revision>
  <cp:lastPrinted>2018-02-22T15:49:00Z</cp:lastPrinted>
  <dcterms:created xsi:type="dcterms:W3CDTF">2018-11-02T16:19:00Z</dcterms:created>
  <dcterms:modified xsi:type="dcterms:W3CDTF">2018-11-02T16:19:00Z</dcterms:modified>
</cp:coreProperties>
</file>