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DF" w:rsidRDefault="001260DF">
      <w:r>
        <w:rPr>
          <w:noProof/>
        </w:rPr>
        <w:drawing>
          <wp:anchor distT="0" distB="0" distL="114300" distR="114300" simplePos="0" relativeHeight="251658240" behindDoc="0" locked="0" layoutInCell="1" allowOverlap="1" wp14:anchorId="5D460393" wp14:editId="62040AAC">
            <wp:simplePos x="0" y="0"/>
            <wp:positionH relativeFrom="column">
              <wp:posOffset>-71755</wp:posOffset>
            </wp:positionH>
            <wp:positionV relativeFrom="paragraph">
              <wp:posOffset>-708660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smartTag w:uri="urn:schemas-microsoft-com:office:smarttags" w:element="stockticker">
              <w:r w:rsidRPr="005367C6">
                <w:rPr>
                  <w:rFonts w:ascii="Arial" w:hAnsi="Arial" w:cs="Arial"/>
                  <w:b/>
                  <w:bCs/>
                  <w:sz w:val="20"/>
                  <w:szCs w:val="20"/>
                </w:rPr>
                <w:t>JOB</w:t>
              </w:r>
            </w:smartTag>
            <w:r w:rsidRPr="005367C6">
              <w:rPr>
                <w:rFonts w:ascii="Arial" w:hAnsi="Arial" w:cs="Arial"/>
                <w:b/>
                <w:bCs/>
                <w:sz w:val="20"/>
                <w:szCs w:val="20"/>
              </w:rPr>
              <w:t xml:space="preserve"> DESCRIPTION &amp; PERSON SPECIFICATION</w:t>
            </w:r>
          </w:p>
          <w:p w:rsidR="001A34FA" w:rsidRPr="005367C6" w:rsidRDefault="001A34FA" w:rsidP="009A5B0A">
            <w:pPr>
              <w:jc w:val="center"/>
              <w:rPr>
                <w:rFonts w:ascii="Arial" w:hAnsi="Arial" w:cs="Arial"/>
                <w:sz w:val="20"/>
                <w:szCs w:val="20"/>
              </w:rPr>
            </w:pPr>
          </w:p>
        </w:tc>
      </w:tr>
      <w:tr w:rsidR="001A34FA" w:rsidRPr="005367C6">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00B13EEF" w:rsidRPr="00B13EEF">
              <w:rPr>
                <w:rFonts w:ascii="Arial" w:hAnsi="Arial" w:cs="Arial"/>
                <w:b/>
                <w:sz w:val="20"/>
                <w:szCs w:val="20"/>
              </w:rPr>
              <w:t>Acting</w:t>
            </w:r>
            <w:r w:rsidR="00B13EEF">
              <w:rPr>
                <w:rFonts w:ascii="Arial" w:hAnsi="Arial" w:cs="Arial"/>
                <w:sz w:val="20"/>
                <w:szCs w:val="20"/>
              </w:rPr>
              <w:t xml:space="preserve"> </w:t>
            </w:r>
            <w:r w:rsidRPr="005367C6">
              <w:rPr>
                <w:rFonts w:ascii="Arial" w:hAnsi="Arial" w:cs="Arial"/>
                <w:b/>
                <w:bCs/>
                <w:sz w:val="20"/>
                <w:szCs w:val="20"/>
              </w:rPr>
              <w:t>Course Leader</w:t>
            </w:r>
            <w:r w:rsidR="001260DF">
              <w:rPr>
                <w:rFonts w:ascii="Arial" w:hAnsi="Arial" w:cs="Arial"/>
                <w:b/>
                <w:bCs/>
                <w:sz w:val="20"/>
                <w:szCs w:val="20"/>
              </w:rPr>
              <w:t xml:space="preserve"> BA (Hons) Fashion </w:t>
            </w:r>
            <w:r w:rsidR="005179CD">
              <w:rPr>
                <w:rFonts w:ascii="Arial" w:hAnsi="Arial" w:cs="Arial"/>
                <w:b/>
                <w:bCs/>
                <w:sz w:val="20"/>
                <w:szCs w:val="20"/>
              </w:rPr>
              <w:t>Jewellery</w:t>
            </w:r>
            <w:r w:rsidR="00B13EEF">
              <w:rPr>
                <w:rFonts w:ascii="Arial" w:hAnsi="Arial" w:cs="Arial"/>
                <w:b/>
                <w:bCs/>
                <w:sz w:val="20"/>
                <w:szCs w:val="20"/>
              </w:rPr>
              <w:t xml:space="preserve"> (maternity cover)</w:t>
            </w:r>
            <w:bookmarkStart w:id="0" w:name="_GoBack"/>
            <w:bookmarkEnd w:id="0"/>
          </w:p>
          <w:p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063A10" w:rsidP="007E4943">
            <w:pPr>
              <w:rPr>
                <w:rFonts w:ascii="Arial" w:hAnsi="Arial" w:cs="Arial"/>
                <w:sz w:val="20"/>
                <w:szCs w:val="20"/>
              </w:rPr>
            </w:pPr>
            <w:r>
              <w:rPr>
                <w:rFonts w:ascii="Arial" w:hAnsi="Arial" w:cs="Arial"/>
                <w:sz w:val="20"/>
                <w:szCs w:val="20"/>
              </w:rPr>
              <w:t xml:space="preserve">Salary: </w:t>
            </w:r>
            <w:r w:rsidRPr="00063A10">
              <w:rPr>
                <w:rFonts w:ascii="Arial" w:hAnsi="Arial" w:cs="Arial"/>
                <w:b/>
                <w:sz w:val="20"/>
                <w:szCs w:val="20"/>
              </w:rPr>
              <w:t>£</w:t>
            </w:r>
            <w:r w:rsidR="007E4943">
              <w:rPr>
                <w:rFonts w:ascii="Arial" w:hAnsi="Arial" w:cs="Arial"/>
                <w:b/>
                <w:sz w:val="20"/>
                <w:szCs w:val="20"/>
              </w:rPr>
              <w:t xml:space="preserve">44,708 </w:t>
            </w:r>
            <w:r w:rsidRPr="00063A10">
              <w:rPr>
                <w:rFonts w:ascii="Arial" w:hAnsi="Arial" w:cs="Arial"/>
                <w:b/>
                <w:sz w:val="20"/>
                <w:szCs w:val="20"/>
              </w:rPr>
              <w:t>-</w:t>
            </w:r>
            <w:r w:rsidR="007E4943">
              <w:rPr>
                <w:rFonts w:ascii="Arial" w:hAnsi="Arial" w:cs="Arial"/>
                <w:b/>
                <w:sz w:val="20"/>
                <w:szCs w:val="20"/>
              </w:rPr>
              <w:t xml:space="preserve"> </w:t>
            </w:r>
            <w:r w:rsidRPr="00063A10">
              <w:rPr>
                <w:rFonts w:ascii="Arial" w:hAnsi="Arial" w:cs="Arial"/>
                <w:b/>
                <w:sz w:val="20"/>
                <w:szCs w:val="20"/>
              </w:rPr>
              <w:t>£</w:t>
            </w:r>
            <w:r w:rsidR="007E4943">
              <w:rPr>
                <w:rFonts w:ascii="Arial" w:hAnsi="Arial" w:cs="Arial"/>
                <w:b/>
                <w:sz w:val="20"/>
                <w:szCs w:val="20"/>
              </w:rPr>
              <w:t>53,865</w:t>
            </w:r>
            <w:r w:rsidRPr="00063A10">
              <w:rPr>
                <w:rFonts w:ascii="Arial" w:hAnsi="Arial" w:cs="Arial"/>
                <w:b/>
                <w:sz w:val="20"/>
                <w:szCs w:val="20"/>
              </w:rPr>
              <w:t xml:space="preserve"> pa</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B13EEF">
              <w:rPr>
                <w:rFonts w:ascii="Arial" w:hAnsi="Arial" w:cs="Arial"/>
                <w:b/>
                <w:bCs/>
                <w:sz w:val="20"/>
                <w:szCs w:val="20"/>
              </w:rPr>
              <w:t>Fixed term – 6 months in the first instance</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063A10" w:rsidRPr="00063A10">
              <w:rPr>
                <w:rFonts w:ascii="Arial" w:hAnsi="Arial" w:cs="Arial"/>
                <w:b/>
                <w:sz w:val="20"/>
                <w:szCs w:val="20"/>
              </w:rPr>
              <w:t>1.0</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5179CD">
            <w:pPr>
              <w:rPr>
                <w:rFonts w:ascii="Arial" w:hAnsi="Arial" w:cs="Arial"/>
                <w:sz w:val="20"/>
                <w:szCs w:val="20"/>
              </w:rPr>
            </w:pPr>
            <w:r w:rsidRPr="005367C6">
              <w:rPr>
                <w:rFonts w:ascii="Arial" w:hAnsi="Arial" w:cs="Arial"/>
                <w:sz w:val="20"/>
                <w:szCs w:val="20"/>
              </w:rPr>
              <w:t xml:space="preserve">Location:  </w:t>
            </w:r>
            <w:r w:rsidR="005179CD">
              <w:rPr>
                <w:rFonts w:ascii="Arial" w:hAnsi="Arial" w:cs="Arial"/>
                <w:b/>
                <w:sz w:val="20"/>
                <w:szCs w:val="20"/>
              </w:rPr>
              <w:t>Golden Lane</w:t>
            </w:r>
            <w:r w:rsidR="00063A10" w:rsidRPr="00063A10">
              <w:rPr>
                <w:rFonts w:ascii="Arial" w:hAnsi="Arial" w:cs="Arial"/>
                <w:b/>
                <w:sz w:val="20"/>
                <w:szCs w:val="20"/>
              </w:rPr>
              <w:t xml:space="preserve">, London, </w:t>
            </w:r>
            <w:r w:rsidR="005179CD">
              <w:rPr>
                <w:rFonts w:ascii="Arial" w:hAnsi="Arial" w:cs="Arial"/>
                <w:b/>
                <w:sz w:val="20"/>
                <w:szCs w:val="20"/>
              </w:rPr>
              <w:t>EC1Y 0UU</w:t>
            </w:r>
          </w:p>
        </w:tc>
      </w:tr>
      <w:tr w:rsidR="001A34FA" w:rsidRPr="005367C6">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063A10" w:rsidRPr="00063A10">
              <w:rPr>
                <w:rFonts w:ascii="Arial" w:hAnsi="Arial" w:cs="Arial"/>
                <w:b/>
                <w:sz w:val="20"/>
                <w:szCs w:val="20"/>
              </w:rPr>
              <w:t>London College of Fashion</w:t>
            </w:r>
          </w:p>
          <w:p w:rsidR="001A34FA" w:rsidRPr="005367C6" w:rsidRDefault="001A34FA" w:rsidP="001E2C5B">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lastRenderedPageBreak/>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lastRenderedPageBreak/>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260DF" w:rsidRDefault="001260DF" w:rsidP="00501619">
            <w:pPr>
              <w:rPr>
                <w:rFonts w:ascii="Arial" w:hAnsi="Arial" w:cs="Arial"/>
                <w:b/>
                <w:bCs/>
                <w:sz w:val="20"/>
                <w:szCs w:val="20"/>
              </w:rPr>
            </w:pP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lastRenderedPageBreak/>
              <w:t>Studio(s) and associated equipment, fixtures and fittings</w:t>
            </w:r>
          </w:p>
        </w:tc>
      </w:tr>
    </w:tbl>
    <w:p w:rsidR="001260DF" w:rsidRDefault="001260DF">
      <w:pPr>
        <w:rPr>
          <w:rFonts w:ascii="Arial" w:hAnsi="Arial" w:cs="Arial"/>
          <w:sz w:val="20"/>
          <w:szCs w:val="20"/>
        </w:rPr>
      </w:pPr>
      <w:r>
        <w:rPr>
          <w:rFonts w:ascii="Arial" w:hAnsi="Arial" w:cs="Arial"/>
          <w:sz w:val="20"/>
          <w:szCs w:val="20"/>
        </w:rPr>
        <w:lastRenderedPageBreak/>
        <w:br w:type="page"/>
      </w:r>
    </w:p>
    <w:p w:rsidR="005179CD" w:rsidRDefault="005179CD" w:rsidP="007C0106">
      <w:pPr>
        <w:rPr>
          <w:rFonts w:ascii="Arial" w:hAnsi="Arial" w:cs="Arial"/>
          <w:b/>
          <w:sz w:val="28"/>
          <w:szCs w:val="28"/>
        </w:rPr>
      </w:pPr>
      <w:r>
        <w:rPr>
          <w:rFonts w:ascii="Arial" w:hAnsi="Arial" w:cs="Arial"/>
          <w:b/>
          <w:sz w:val="28"/>
          <w:szCs w:val="28"/>
        </w:rPr>
        <w:lastRenderedPageBreak/>
        <w:t xml:space="preserve">Job Title: </w:t>
      </w:r>
      <w:r w:rsidR="007E4943">
        <w:rPr>
          <w:rFonts w:ascii="Arial" w:hAnsi="Arial" w:cs="Arial"/>
          <w:b/>
          <w:sz w:val="28"/>
          <w:szCs w:val="28"/>
        </w:rPr>
        <w:t xml:space="preserve">Acting </w:t>
      </w:r>
      <w:r>
        <w:rPr>
          <w:rFonts w:ascii="Arial" w:hAnsi="Arial" w:cs="Arial"/>
          <w:b/>
          <w:sz w:val="28"/>
          <w:szCs w:val="28"/>
        </w:rPr>
        <w:t>Course Leader BA (Hons) Fashion Jewellery</w:t>
      </w:r>
    </w:p>
    <w:p w:rsidR="007C0106" w:rsidRDefault="005179CD" w:rsidP="007C0106">
      <w:pPr>
        <w:rPr>
          <w:rFonts w:ascii="Arial" w:hAnsi="Arial" w:cs="Arial"/>
          <w:b/>
          <w:sz w:val="28"/>
          <w:szCs w:val="28"/>
        </w:rPr>
      </w:pPr>
      <w:r>
        <w:rPr>
          <w:rFonts w:ascii="Arial" w:hAnsi="Arial" w:cs="Arial"/>
          <w:b/>
          <w:sz w:val="28"/>
          <w:szCs w:val="28"/>
        </w:rPr>
        <w:t xml:space="preserve">Grade:  </w:t>
      </w:r>
      <w:r w:rsidR="007C0106">
        <w:rPr>
          <w:rFonts w:ascii="Arial" w:hAnsi="Arial" w:cs="Arial"/>
          <w:b/>
          <w:sz w:val="28"/>
          <w:szCs w:val="28"/>
        </w:rPr>
        <w:t>6</w:t>
      </w:r>
    </w:p>
    <w:tbl>
      <w:tblPr>
        <w:tblStyle w:val="TableGrid"/>
        <w:tblW w:w="0" w:type="auto"/>
        <w:tblLook w:val="04A0" w:firstRow="1" w:lastRow="0" w:firstColumn="1" w:lastColumn="0" w:noHBand="0" w:noVBand="1"/>
      </w:tblPr>
      <w:tblGrid>
        <w:gridCol w:w="3760"/>
        <w:gridCol w:w="5256"/>
      </w:tblGrid>
      <w:tr w:rsidR="007C0106" w:rsidTr="0003523D">
        <w:trPr>
          <w:trHeight w:val="410"/>
        </w:trPr>
        <w:tc>
          <w:tcPr>
            <w:tcW w:w="9180" w:type="dxa"/>
            <w:gridSpan w:val="2"/>
            <w:shd w:val="clear" w:color="auto" w:fill="000000" w:themeFill="text1"/>
          </w:tcPr>
          <w:p w:rsidR="007C0106" w:rsidRPr="00FB685B" w:rsidRDefault="007C0106" w:rsidP="0003523D">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63A10" w:rsidTr="0003523D">
        <w:trPr>
          <w:trHeight w:val="700"/>
        </w:trPr>
        <w:tc>
          <w:tcPr>
            <w:tcW w:w="3794" w:type="dxa"/>
            <w:vAlign w:val="center"/>
          </w:tcPr>
          <w:p w:rsidR="00063A10" w:rsidRDefault="00063A10" w:rsidP="0003523D">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063A10" w:rsidRPr="00C65ECC" w:rsidRDefault="00063A10" w:rsidP="008F55BB">
            <w:pPr>
              <w:rPr>
                <w:rFonts w:ascii="Arial" w:hAnsi="Arial" w:cs="Arial"/>
                <w:i/>
                <w:sz w:val="24"/>
                <w:szCs w:val="24"/>
              </w:rPr>
            </w:pPr>
          </w:p>
          <w:p w:rsidR="00063A10" w:rsidRDefault="00063A10" w:rsidP="008F55BB">
            <w:pPr>
              <w:pBdr>
                <w:bottom w:val="single" w:sz="4" w:space="1" w:color="auto"/>
              </w:pBdr>
              <w:rPr>
                <w:rFonts w:ascii="Arial" w:hAnsi="Arial" w:cs="Arial"/>
                <w:sz w:val="24"/>
                <w:szCs w:val="24"/>
              </w:rPr>
            </w:pPr>
            <w:r w:rsidRPr="00C65ECC">
              <w:rPr>
                <w:rFonts w:ascii="Arial" w:hAnsi="Arial" w:cs="Arial"/>
                <w:sz w:val="24"/>
                <w:szCs w:val="24"/>
              </w:rPr>
              <w:t>Relevant degree</w:t>
            </w:r>
          </w:p>
          <w:p w:rsidR="00063A10" w:rsidRPr="00C65ECC" w:rsidRDefault="00063A10" w:rsidP="008F55BB">
            <w:pPr>
              <w:rPr>
                <w:rFonts w:ascii="Arial" w:hAnsi="Arial" w:cs="Arial"/>
                <w:sz w:val="24"/>
                <w:szCs w:val="24"/>
              </w:rPr>
            </w:pPr>
          </w:p>
          <w:p w:rsidR="00063A10" w:rsidRDefault="00063A10" w:rsidP="008F55BB">
            <w:pPr>
              <w:pBdr>
                <w:bottom w:val="single" w:sz="4" w:space="1" w:color="auto"/>
              </w:pBdr>
              <w:rPr>
                <w:rFonts w:ascii="Arial" w:hAnsi="Arial" w:cs="Arial"/>
                <w:sz w:val="24"/>
                <w:szCs w:val="24"/>
              </w:rPr>
            </w:pPr>
            <w:r w:rsidRPr="00C65ECC">
              <w:rPr>
                <w:rFonts w:ascii="Arial" w:hAnsi="Arial" w:cs="Arial"/>
                <w:sz w:val="24"/>
                <w:szCs w:val="24"/>
              </w:rPr>
              <w:t>Relevant teaching qualification is desirable</w:t>
            </w:r>
          </w:p>
          <w:p w:rsidR="00063A10" w:rsidRPr="00C65ECC" w:rsidRDefault="00063A10" w:rsidP="008F55BB">
            <w:pPr>
              <w:rPr>
                <w:rFonts w:ascii="Arial" w:hAnsi="Arial" w:cs="Arial"/>
                <w:sz w:val="24"/>
                <w:szCs w:val="24"/>
              </w:rPr>
            </w:pPr>
          </w:p>
          <w:p w:rsidR="00063A10" w:rsidRDefault="00063A10" w:rsidP="008F55BB">
            <w:pPr>
              <w:rPr>
                <w:rFonts w:ascii="Arial" w:hAnsi="Arial" w:cs="Arial"/>
                <w:sz w:val="24"/>
                <w:szCs w:val="24"/>
              </w:rPr>
            </w:pPr>
            <w:r w:rsidRPr="00C65ECC">
              <w:rPr>
                <w:rFonts w:ascii="Arial" w:hAnsi="Arial" w:cs="Arial"/>
                <w:sz w:val="24"/>
                <w:szCs w:val="24"/>
              </w:rPr>
              <w:t xml:space="preserve">Relevant </w:t>
            </w:r>
            <w:proofErr w:type="spellStart"/>
            <w:r w:rsidRPr="00C65ECC">
              <w:rPr>
                <w:rFonts w:ascii="Arial" w:hAnsi="Arial" w:cs="Arial"/>
                <w:sz w:val="24"/>
                <w:szCs w:val="24"/>
              </w:rPr>
              <w:t>masters</w:t>
            </w:r>
            <w:proofErr w:type="spellEnd"/>
            <w:r w:rsidRPr="00C65ECC">
              <w:rPr>
                <w:rFonts w:ascii="Arial" w:hAnsi="Arial" w:cs="Arial"/>
                <w:sz w:val="24"/>
                <w:szCs w:val="24"/>
              </w:rPr>
              <w:t xml:space="preserve"> degree or PhD is desirable</w:t>
            </w:r>
          </w:p>
          <w:p w:rsidR="00063A10" w:rsidRDefault="00063A10" w:rsidP="008F55BB">
            <w:pPr>
              <w:pBdr>
                <w:top w:val="single" w:sz="4" w:space="1" w:color="auto"/>
              </w:pBdr>
              <w:rPr>
                <w:rFonts w:ascii="Arial" w:hAnsi="Arial" w:cs="Arial"/>
                <w:sz w:val="24"/>
                <w:szCs w:val="24"/>
              </w:rPr>
            </w:pPr>
          </w:p>
          <w:p w:rsidR="00063A10" w:rsidRPr="00C65ECC" w:rsidRDefault="00063A10" w:rsidP="008F55BB">
            <w:pPr>
              <w:pBdr>
                <w:top w:val="single" w:sz="4" w:space="1" w:color="auto"/>
              </w:pBdr>
              <w:rPr>
                <w:rFonts w:ascii="Arial" w:hAnsi="Arial" w:cs="Arial"/>
                <w:sz w:val="24"/>
                <w:szCs w:val="24"/>
              </w:rPr>
            </w:pPr>
            <w:r>
              <w:rPr>
                <w:rFonts w:ascii="Arial" w:hAnsi="Arial" w:cs="Arial"/>
                <w:sz w:val="24"/>
                <w:szCs w:val="24"/>
              </w:rPr>
              <w:t>Awareness</w:t>
            </w:r>
            <w:r w:rsidRPr="00C65ECC">
              <w:rPr>
                <w:rFonts w:ascii="Arial" w:hAnsi="Arial" w:cs="Arial"/>
                <w:sz w:val="24"/>
                <w:szCs w:val="24"/>
              </w:rPr>
              <w:t xml:space="preserve"> of the regulatory framework for HE academ</w:t>
            </w:r>
            <w:r>
              <w:rPr>
                <w:rFonts w:ascii="Arial" w:hAnsi="Arial" w:cs="Arial"/>
                <w:sz w:val="24"/>
                <w:szCs w:val="24"/>
              </w:rPr>
              <w:t>ic awards and quality standards</w:t>
            </w:r>
          </w:p>
          <w:p w:rsidR="00063A10" w:rsidRPr="00C65ECC" w:rsidRDefault="00063A10" w:rsidP="008F55BB">
            <w:pPr>
              <w:rPr>
                <w:rFonts w:ascii="Arial" w:hAnsi="Arial" w:cs="Arial"/>
                <w:i/>
                <w:sz w:val="24"/>
                <w:szCs w:val="24"/>
              </w:rPr>
            </w:pPr>
          </w:p>
        </w:tc>
      </w:tr>
      <w:tr w:rsidR="00063A10" w:rsidTr="0003523D">
        <w:trPr>
          <w:trHeight w:val="425"/>
        </w:trPr>
        <w:tc>
          <w:tcPr>
            <w:tcW w:w="3794" w:type="dxa"/>
            <w:vAlign w:val="center"/>
          </w:tcPr>
          <w:p w:rsidR="00063A10" w:rsidRDefault="00063A10" w:rsidP="0003523D">
            <w:pPr>
              <w:rPr>
                <w:rFonts w:ascii="Arial" w:hAnsi="Arial" w:cs="Arial"/>
                <w:sz w:val="24"/>
                <w:szCs w:val="24"/>
              </w:rPr>
            </w:pPr>
            <w:r>
              <w:rPr>
                <w:rFonts w:ascii="Arial" w:hAnsi="Arial" w:cs="Arial"/>
                <w:sz w:val="24"/>
                <w:szCs w:val="24"/>
              </w:rPr>
              <w:t>Relevant Experience</w:t>
            </w:r>
          </w:p>
        </w:tc>
        <w:tc>
          <w:tcPr>
            <w:tcW w:w="5386" w:type="dxa"/>
            <w:vAlign w:val="center"/>
          </w:tcPr>
          <w:p w:rsidR="00063A10" w:rsidRDefault="00063A10" w:rsidP="0003523D">
            <w:pPr>
              <w:rPr>
                <w:rFonts w:ascii="Arial" w:hAnsi="Arial" w:cs="Arial"/>
                <w:i/>
                <w:sz w:val="24"/>
                <w:szCs w:val="24"/>
              </w:rPr>
            </w:pPr>
          </w:p>
          <w:p w:rsidR="00063A10" w:rsidRPr="00AB25A3" w:rsidRDefault="00063A10" w:rsidP="00063A10">
            <w:pPr>
              <w:rPr>
                <w:rFonts w:ascii="Arial" w:hAnsi="Arial" w:cs="Arial"/>
                <w:sz w:val="24"/>
                <w:szCs w:val="24"/>
              </w:rPr>
            </w:pPr>
            <w:r w:rsidRPr="00AB25A3">
              <w:rPr>
                <w:rFonts w:ascii="Arial" w:hAnsi="Arial" w:cs="Arial"/>
                <w:sz w:val="24"/>
                <w:szCs w:val="24"/>
              </w:rPr>
              <w:t xml:space="preserve">Teaching and learning </w:t>
            </w:r>
            <w:r>
              <w:rPr>
                <w:rFonts w:ascii="Arial" w:hAnsi="Arial" w:cs="Arial"/>
                <w:sz w:val="24"/>
                <w:szCs w:val="24"/>
              </w:rPr>
              <w:t>experience</w:t>
            </w:r>
            <w:r w:rsidRPr="00AB25A3">
              <w:rPr>
                <w:rFonts w:ascii="Arial" w:hAnsi="Arial" w:cs="Arial"/>
                <w:sz w:val="24"/>
                <w:szCs w:val="24"/>
              </w:rPr>
              <w:t xml:space="preserve"> </w:t>
            </w:r>
            <w:r>
              <w:rPr>
                <w:rFonts w:ascii="Arial" w:hAnsi="Arial" w:cs="Arial"/>
                <w:sz w:val="24"/>
                <w:szCs w:val="24"/>
              </w:rPr>
              <w:t>and / or equivalent industry experience in related area</w:t>
            </w:r>
          </w:p>
          <w:p w:rsidR="00063A10" w:rsidRPr="00CB1FB8" w:rsidRDefault="00063A10" w:rsidP="0003523D">
            <w:pPr>
              <w:rPr>
                <w:rFonts w:ascii="Arial" w:hAnsi="Arial" w:cs="Arial"/>
                <w:i/>
                <w:sz w:val="24"/>
                <w:szCs w:val="24"/>
              </w:rPr>
            </w:pP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063A10" w:rsidRPr="006F0805" w:rsidRDefault="00063A10" w:rsidP="0003523D">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063A10" w:rsidRPr="006F0805" w:rsidRDefault="00063A10" w:rsidP="0003523D">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063A10" w:rsidTr="0003523D">
        <w:trPr>
          <w:trHeight w:val="915"/>
        </w:trPr>
        <w:tc>
          <w:tcPr>
            <w:tcW w:w="3794" w:type="dxa"/>
            <w:vMerge w:val="restart"/>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Research, Teaching and Learning</w:t>
            </w:r>
          </w:p>
          <w:p w:rsidR="00063A10" w:rsidRPr="006F0805" w:rsidRDefault="00063A10" w:rsidP="0003523D">
            <w:pPr>
              <w:rPr>
                <w:rFonts w:ascii="Arial" w:hAnsi="Arial" w:cs="Arial"/>
                <w:sz w:val="24"/>
                <w:szCs w:val="24"/>
              </w:rPr>
            </w:pPr>
          </w:p>
        </w:tc>
        <w:tc>
          <w:tcPr>
            <w:tcW w:w="5386" w:type="dxa"/>
            <w:vAlign w:val="center"/>
          </w:tcPr>
          <w:p w:rsidR="00063A10" w:rsidRPr="006F0805" w:rsidRDefault="00063A10" w:rsidP="0003523D">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063A10" w:rsidTr="0003523D">
        <w:trPr>
          <w:trHeight w:val="750"/>
        </w:trPr>
        <w:tc>
          <w:tcPr>
            <w:tcW w:w="3794" w:type="dxa"/>
            <w:vMerge/>
            <w:vAlign w:val="center"/>
          </w:tcPr>
          <w:p w:rsidR="00063A10" w:rsidRPr="006F0805" w:rsidRDefault="00063A10" w:rsidP="0003523D">
            <w:pPr>
              <w:rPr>
                <w:rFonts w:ascii="Arial" w:hAnsi="Arial" w:cs="Arial"/>
                <w:sz w:val="24"/>
                <w:szCs w:val="24"/>
              </w:rPr>
            </w:pPr>
          </w:p>
        </w:tc>
        <w:tc>
          <w:tcPr>
            <w:tcW w:w="5386" w:type="dxa"/>
            <w:vAlign w:val="center"/>
          </w:tcPr>
          <w:p w:rsidR="00063A10" w:rsidRPr="006F0805" w:rsidRDefault="00063A10" w:rsidP="0003523D">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063A10" w:rsidRPr="006F0805" w:rsidRDefault="00063A10" w:rsidP="0003523D">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063A10" w:rsidRPr="007C083E" w:rsidRDefault="00063A10" w:rsidP="0003523D">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Teamwork</w:t>
            </w:r>
          </w:p>
        </w:tc>
        <w:tc>
          <w:tcPr>
            <w:tcW w:w="5386" w:type="dxa"/>
            <w:vAlign w:val="center"/>
          </w:tcPr>
          <w:p w:rsidR="00063A10" w:rsidRPr="007C083E" w:rsidRDefault="00063A10" w:rsidP="0003523D">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063A10" w:rsidRPr="007C083E" w:rsidRDefault="00063A10" w:rsidP="0003523D">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063A10" w:rsidTr="0003523D">
        <w:tc>
          <w:tcPr>
            <w:tcW w:w="3794" w:type="dxa"/>
            <w:vAlign w:val="center"/>
          </w:tcPr>
          <w:p w:rsidR="00063A10" w:rsidRPr="006F0805" w:rsidRDefault="00063A10" w:rsidP="0003523D">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063A10" w:rsidRPr="007C083E" w:rsidRDefault="00063A10" w:rsidP="0003523D">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063A10" w:rsidRPr="007C083E" w:rsidRDefault="00063A10" w:rsidP="0003523D">
            <w:pPr>
              <w:rPr>
                <w:rFonts w:ascii="Arial" w:hAnsi="Arial" w:cs="Arial"/>
                <w:sz w:val="24"/>
                <w:szCs w:val="24"/>
              </w:rPr>
            </w:pPr>
          </w:p>
        </w:tc>
      </w:tr>
    </w:tbl>
    <w:p w:rsidR="007C0106" w:rsidRDefault="007C0106" w:rsidP="007C0106">
      <w:pPr>
        <w:rPr>
          <w:rFonts w:ascii="Arial" w:hAnsi="Arial" w:cs="Arial"/>
          <w:sz w:val="24"/>
          <w:szCs w:val="24"/>
        </w:rPr>
      </w:pPr>
    </w:p>
    <w:p w:rsidR="007C0106" w:rsidRPr="0085258A" w:rsidRDefault="007C0106" w:rsidP="007C0106">
      <w:pPr>
        <w:rPr>
          <w:rFonts w:ascii="Arial" w:hAnsi="Arial" w:cs="Arial"/>
          <w:b/>
          <w:sz w:val="24"/>
          <w:szCs w:val="24"/>
        </w:rPr>
      </w:pPr>
      <w:r w:rsidRPr="0085258A">
        <w:rPr>
          <w:rFonts w:ascii="Arial" w:hAnsi="Arial" w:cs="Arial"/>
          <w:b/>
          <w:sz w:val="24"/>
          <w:szCs w:val="24"/>
        </w:rPr>
        <w:t>Last Updated:</w:t>
      </w:r>
      <w:r w:rsidR="00063A10">
        <w:rPr>
          <w:rFonts w:ascii="Arial" w:hAnsi="Arial" w:cs="Arial"/>
          <w:b/>
          <w:sz w:val="24"/>
          <w:szCs w:val="24"/>
        </w:rPr>
        <w:t xml:space="preserve"> </w:t>
      </w:r>
      <w:r w:rsidR="005179CD">
        <w:rPr>
          <w:rFonts w:ascii="Arial" w:hAnsi="Arial" w:cs="Arial"/>
          <w:b/>
          <w:sz w:val="24"/>
          <w:szCs w:val="24"/>
        </w:rPr>
        <w:t>17</w:t>
      </w:r>
      <w:r w:rsidR="00063A10">
        <w:rPr>
          <w:rFonts w:ascii="Arial" w:hAnsi="Arial" w:cs="Arial"/>
          <w:b/>
          <w:sz w:val="24"/>
          <w:szCs w:val="24"/>
        </w:rPr>
        <w:t>/1</w:t>
      </w:r>
      <w:r w:rsidR="005179CD">
        <w:rPr>
          <w:rFonts w:ascii="Arial" w:hAnsi="Arial" w:cs="Arial"/>
          <w:b/>
          <w:sz w:val="24"/>
          <w:szCs w:val="24"/>
        </w:rPr>
        <w:t>2</w:t>
      </w:r>
      <w:r w:rsidR="00063A10">
        <w:rPr>
          <w:rFonts w:ascii="Arial" w:hAnsi="Arial" w:cs="Arial"/>
          <w:b/>
          <w:sz w:val="24"/>
          <w:szCs w:val="24"/>
        </w:rPr>
        <w:t>/2015</w:t>
      </w:r>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E4" w:rsidRDefault="00BA04E4" w:rsidP="00D168B2">
      <w:pPr>
        <w:rPr>
          <w:rFonts w:cs="Times New Roman"/>
        </w:rPr>
      </w:pPr>
      <w:r>
        <w:rPr>
          <w:rFonts w:cs="Times New Roman"/>
        </w:rPr>
        <w:separator/>
      </w:r>
    </w:p>
  </w:endnote>
  <w:endnote w:type="continuationSeparator" w:id="0">
    <w:p w:rsidR="00BA04E4" w:rsidRDefault="00BA04E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B13EEF">
      <w:rPr>
        <w:rFonts w:ascii="Arial" w:hAnsi="Arial" w:cs="Arial"/>
        <w:noProof/>
        <w:sz w:val="16"/>
        <w:szCs w:val="16"/>
      </w:rPr>
      <w:t>5</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B13EEF">
      <w:rPr>
        <w:rFonts w:ascii="Arial" w:hAnsi="Arial" w:cs="Arial"/>
        <w:noProof/>
        <w:sz w:val="16"/>
        <w:szCs w:val="16"/>
      </w:rPr>
      <w:t>5</w:t>
    </w:r>
    <w:r w:rsidR="009679A7"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E4" w:rsidRDefault="00BA04E4" w:rsidP="00D168B2">
      <w:pPr>
        <w:rPr>
          <w:rFonts w:cs="Times New Roman"/>
        </w:rPr>
      </w:pPr>
      <w:r>
        <w:rPr>
          <w:rFonts w:cs="Times New Roman"/>
        </w:rPr>
        <w:separator/>
      </w:r>
    </w:p>
  </w:footnote>
  <w:footnote w:type="continuationSeparator" w:id="0">
    <w:p w:rsidR="00BA04E4" w:rsidRDefault="00BA04E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63A10"/>
    <w:rsid w:val="000857B1"/>
    <w:rsid w:val="00085A2D"/>
    <w:rsid w:val="000E5B20"/>
    <w:rsid w:val="00107C3A"/>
    <w:rsid w:val="00122075"/>
    <w:rsid w:val="001260DF"/>
    <w:rsid w:val="00155270"/>
    <w:rsid w:val="00183988"/>
    <w:rsid w:val="00184276"/>
    <w:rsid w:val="001A34FA"/>
    <w:rsid w:val="001C650A"/>
    <w:rsid w:val="001E2C5B"/>
    <w:rsid w:val="00244139"/>
    <w:rsid w:val="0025595C"/>
    <w:rsid w:val="00282F56"/>
    <w:rsid w:val="002852E7"/>
    <w:rsid w:val="00300F9C"/>
    <w:rsid w:val="0030192B"/>
    <w:rsid w:val="003040F3"/>
    <w:rsid w:val="00325FC9"/>
    <w:rsid w:val="00363F57"/>
    <w:rsid w:val="003724B8"/>
    <w:rsid w:val="00373E3C"/>
    <w:rsid w:val="00392A51"/>
    <w:rsid w:val="003A3818"/>
    <w:rsid w:val="003E4D64"/>
    <w:rsid w:val="003F560F"/>
    <w:rsid w:val="00437F76"/>
    <w:rsid w:val="004463EB"/>
    <w:rsid w:val="004712C8"/>
    <w:rsid w:val="004A0151"/>
    <w:rsid w:val="004B356D"/>
    <w:rsid w:val="004B65D3"/>
    <w:rsid w:val="00501619"/>
    <w:rsid w:val="005179CD"/>
    <w:rsid w:val="00517DBD"/>
    <w:rsid w:val="005224B6"/>
    <w:rsid w:val="005367C6"/>
    <w:rsid w:val="00584572"/>
    <w:rsid w:val="00597A9A"/>
    <w:rsid w:val="0065410B"/>
    <w:rsid w:val="00656F9B"/>
    <w:rsid w:val="00667811"/>
    <w:rsid w:val="006766A1"/>
    <w:rsid w:val="006A7AD3"/>
    <w:rsid w:val="006B48A8"/>
    <w:rsid w:val="006C25BF"/>
    <w:rsid w:val="006C666B"/>
    <w:rsid w:val="006D45F8"/>
    <w:rsid w:val="007148F7"/>
    <w:rsid w:val="00776821"/>
    <w:rsid w:val="007A5232"/>
    <w:rsid w:val="007B4587"/>
    <w:rsid w:val="007C0106"/>
    <w:rsid w:val="007C5EBD"/>
    <w:rsid w:val="007E4943"/>
    <w:rsid w:val="007E6DD8"/>
    <w:rsid w:val="00821A21"/>
    <w:rsid w:val="008450E6"/>
    <w:rsid w:val="00877DFF"/>
    <w:rsid w:val="00895DBD"/>
    <w:rsid w:val="008A3AE3"/>
    <w:rsid w:val="009029FB"/>
    <w:rsid w:val="00934F15"/>
    <w:rsid w:val="0094254E"/>
    <w:rsid w:val="00944F80"/>
    <w:rsid w:val="00946D92"/>
    <w:rsid w:val="009679A7"/>
    <w:rsid w:val="009A5B0A"/>
    <w:rsid w:val="009E64A1"/>
    <w:rsid w:val="00A06073"/>
    <w:rsid w:val="00A164D2"/>
    <w:rsid w:val="00A27468"/>
    <w:rsid w:val="00A601B7"/>
    <w:rsid w:val="00AD4EBF"/>
    <w:rsid w:val="00AD7C64"/>
    <w:rsid w:val="00B00050"/>
    <w:rsid w:val="00B13EEF"/>
    <w:rsid w:val="00B23D36"/>
    <w:rsid w:val="00B42D64"/>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E67E2B"/>
    <w:rsid w:val="00E96BAA"/>
    <w:rsid w:val="00EC0109"/>
    <w:rsid w:val="00EE3177"/>
    <w:rsid w:val="00EF392F"/>
    <w:rsid w:val="00F41B51"/>
    <w:rsid w:val="00FB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6E342EC-72DE-4980-AD54-4A7E672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7C0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356C39A5</Template>
  <TotalTime>2</TotalTime>
  <Pages>5</Pages>
  <Words>1340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4</cp:revision>
  <cp:lastPrinted>2011-03-08T15:32:00Z</cp:lastPrinted>
  <dcterms:created xsi:type="dcterms:W3CDTF">2017-08-29T10:46:00Z</dcterms:created>
  <dcterms:modified xsi:type="dcterms:W3CDTF">2017-08-29T10:50:00Z</dcterms:modified>
</cp:coreProperties>
</file>