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F0484" w14:textId="77777777" w:rsidR="00F376F6" w:rsidRDefault="002B7C08" w:rsidP="002B7C08">
      <w:pPr>
        <w:pStyle w:val="Heading1"/>
        <w:jc w:val="center"/>
      </w:pPr>
      <w:r>
        <w:t>Job Description</w:t>
      </w:r>
    </w:p>
    <w:p w14:paraId="2A5D0A41" w14:textId="77777777" w:rsidR="002B7C08" w:rsidRPr="002B7C08" w:rsidRDefault="002B7C08" w:rsidP="002B7C08"/>
    <w:p w14:paraId="4E5F3255" w14:textId="77051D2A" w:rsidR="00F376F6" w:rsidRDefault="002E55ED" w:rsidP="002B7C08">
      <w:pPr>
        <w:pStyle w:val="Heading1"/>
        <w:jc w:val="center"/>
      </w:pPr>
      <w:r>
        <w:t>Development Operations Officer</w:t>
      </w:r>
    </w:p>
    <w:p w14:paraId="351AD519" w14:textId="77777777" w:rsidR="00F376F6" w:rsidRDefault="00F376F6">
      <w:pPr>
        <w:rPr>
          <w:b/>
          <w:sz w:val="20"/>
        </w:rPr>
      </w:pPr>
    </w:p>
    <w:p w14:paraId="616E0156" w14:textId="77777777" w:rsidR="00F376F6" w:rsidRDefault="00F376F6">
      <w:pPr>
        <w:spacing w:before="3" w:after="1"/>
        <w:rPr>
          <w:b/>
          <w:sz w:val="1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04"/>
        <w:gridCol w:w="3569"/>
      </w:tblGrid>
      <w:tr w:rsidR="00F376F6" w14:paraId="3EFFF659" w14:textId="77777777" w:rsidTr="00A85409">
        <w:trPr>
          <w:trHeight w:val="559"/>
        </w:trPr>
        <w:tc>
          <w:tcPr>
            <w:tcW w:w="8873" w:type="dxa"/>
            <w:gridSpan w:val="2"/>
          </w:tcPr>
          <w:p w14:paraId="5436379A" w14:textId="77777777" w:rsidR="00F376F6" w:rsidRPr="00A85409" w:rsidRDefault="002B7C08">
            <w:pPr>
              <w:pStyle w:val="TableParagraph"/>
              <w:spacing w:before="37"/>
              <w:ind w:left="3328" w:right="3309"/>
              <w:jc w:val="center"/>
              <w:rPr>
                <w:b/>
              </w:rPr>
            </w:pPr>
            <w:r w:rsidRPr="00A85409">
              <w:rPr>
                <w:b/>
              </w:rPr>
              <w:t>Job Description</w:t>
            </w:r>
          </w:p>
        </w:tc>
      </w:tr>
      <w:tr w:rsidR="00F376F6" w14:paraId="6DB234EE" w14:textId="77777777" w:rsidTr="00A85409">
        <w:trPr>
          <w:trHeight w:val="819"/>
        </w:trPr>
        <w:tc>
          <w:tcPr>
            <w:tcW w:w="5304" w:type="dxa"/>
          </w:tcPr>
          <w:p w14:paraId="36DE1D41" w14:textId="5FFCAF59" w:rsidR="00A8070C" w:rsidRDefault="002B7C08" w:rsidP="008E4D38">
            <w:pPr>
              <w:pStyle w:val="TableParagraph"/>
              <w:spacing w:before="67"/>
              <w:rPr>
                <w:b/>
              </w:rPr>
            </w:pPr>
            <w:r w:rsidRPr="00A85409">
              <w:rPr>
                <w:b/>
              </w:rPr>
              <w:t>College/Service</w:t>
            </w:r>
          </w:p>
          <w:p w14:paraId="1F4CC7A8" w14:textId="77777777" w:rsidR="00CB3FAD" w:rsidRPr="00A85409" w:rsidRDefault="00CB3FAD">
            <w:pPr>
              <w:pStyle w:val="TableParagraph"/>
              <w:spacing w:before="67"/>
              <w:rPr>
                <w:b/>
              </w:rPr>
            </w:pPr>
          </w:p>
          <w:p w14:paraId="4E5E95E6" w14:textId="1AEB69E5" w:rsidR="00F376F6" w:rsidRPr="00A85409" w:rsidRDefault="00150DE1">
            <w:pPr>
              <w:pStyle w:val="TableParagraph"/>
            </w:pPr>
            <w:r w:rsidRPr="00A85409">
              <w:t xml:space="preserve">Development; Social Purpose </w:t>
            </w:r>
            <w:r w:rsidR="00972D38">
              <w:t>Unit</w:t>
            </w:r>
          </w:p>
        </w:tc>
        <w:tc>
          <w:tcPr>
            <w:tcW w:w="3569" w:type="dxa"/>
            <w:tcBorders>
              <w:bottom w:val="single" w:sz="4" w:space="0" w:color="000000"/>
            </w:tcBorders>
          </w:tcPr>
          <w:p w14:paraId="1DA98461" w14:textId="77777777" w:rsidR="00F376F6" w:rsidRPr="00A85409" w:rsidRDefault="002B7C08">
            <w:pPr>
              <w:pStyle w:val="TableParagraph"/>
              <w:spacing w:line="274" w:lineRule="exact"/>
              <w:rPr>
                <w:b/>
              </w:rPr>
            </w:pPr>
            <w:r w:rsidRPr="00A85409">
              <w:rPr>
                <w:b/>
              </w:rPr>
              <w:t>Location</w:t>
            </w:r>
          </w:p>
          <w:p w14:paraId="0B483F54" w14:textId="0E45CDA9" w:rsidR="00F376F6" w:rsidRPr="00A85409" w:rsidRDefault="00150DE1">
            <w:pPr>
              <w:pStyle w:val="TableParagraph"/>
              <w:spacing w:before="137"/>
            </w:pPr>
            <w:r w:rsidRPr="00A85409">
              <w:t xml:space="preserve">Hybrid – Office (High Holborn) and homeworking </w:t>
            </w:r>
          </w:p>
        </w:tc>
      </w:tr>
      <w:tr w:rsidR="00F376F6" w14:paraId="16EDDA18" w14:textId="77777777" w:rsidTr="00A85409">
        <w:trPr>
          <w:trHeight w:val="787"/>
        </w:trPr>
        <w:tc>
          <w:tcPr>
            <w:tcW w:w="5304" w:type="dxa"/>
            <w:tcBorders>
              <w:right w:val="single" w:sz="4" w:space="0" w:color="000000"/>
            </w:tcBorders>
          </w:tcPr>
          <w:p w14:paraId="68A5903C" w14:textId="77777777" w:rsidR="00F376F6" w:rsidRPr="00A85409" w:rsidRDefault="002B7C08">
            <w:pPr>
              <w:pStyle w:val="TableParagraph"/>
              <w:spacing w:line="274" w:lineRule="exact"/>
              <w:rPr>
                <w:b/>
              </w:rPr>
            </w:pPr>
            <w:r w:rsidRPr="00A85409">
              <w:rPr>
                <w:b/>
              </w:rPr>
              <w:t>Contract Length</w:t>
            </w:r>
          </w:p>
          <w:p w14:paraId="329B3EB7" w14:textId="77777777" w:rsidR="00F376F6" w:rsidRPr="00A85409" w:rsidRDefault="002B7C08">
            <w:pPr>
              <w:pStyle w:val="TableParagraph"/>
              <w:spacing w:before="139"/>
            </w:pPr>
            <w:r w:rsidRPr="00A85409">
              <w:t>Permanent</w:t>
            </w:r>
          </w:p>
          <w:p w14:paraId="08C1C20F" w14:textId="26EF8B1D" w:rsidR="00F376F6" w:rsidRPr="00A85409" w:rsidRDefault="00F376F6" w:rsidP="00150DE1">
            <w:pPr>
              <w:pStyle w:val="TableParagraph"/>
              <w:spacing w:before="137"/>
              <w:ind w:left="0"/>
            </w:pPr>
          </w:p>
        </w:tc>
        <w:tc>
          <w:tcPr>
            <w:tcW w:w="3569" w:type="dxa"/>
            <w:tcBorders>
              <w:top w:val="single" w:sz="4" w:space="0" w:color="000000"/>
              <w:left w:val="single" w:sz="4" w:space="0" w:color="000000"/>
              <w:bottom w:val="single" w:sz="4" w:space="0" w:color="000000"/>
              <w:right w:val="single" w:sz="4" w:space="0" w:color="000000"/>
            </w:tcBorders>
          </w:tcPr>
          <w:p w14:paraId="0C3E692F" w14:textId="77777777" w:rsidR="00F376F6" w:rsidRPr="00A85409" w:rsidRDefault="002B7C08">
            <w:pPr>
              <w:pStyle w:val="TableParagraph"/>
              <w:spacing w:line="274" w:lineRule="exact"/>
              <w:ind w:left="112"/>
              <w:rPr>
                <w:b/>
              </w:rPr>
            </w:pPr>
            <w:r w:rsidRPr="00A85409">
              <w:rPr>
                <w:b/>
              </w:rPr>
              <w:t>Hours per week / FTE</w:t>
            </w:r>
          </w:p>
          <w:p w14:paraId="65555D6C" w14:textId="26756A70" w:rsidR="00F376F6" w:rsidRPr="00A85409" w:rsidRDefault="004610F3" w:rsidP="00837E89">
            <w:pPr>
              <w:pStyle w:val="TableParagraph"/>
              <w:spacing w:before="139"/>
              <w:ind w:left="112"/>
            </w:pPr>
            <w:r w:rsidRPr="00A85409">
              <w:t>35</w:t>
            </w:r>
            <w:r w:rsidR="002B7C08" w:rsidRPr="00A85409">
              <w:t xml:space="preserve"> / </w:t>
            </w:r>
            <w:r w:rsidRPr="00A85409">
              <w:t>1 FTE</w:t>
            </w:r>
          </w:p>
        </w:tc>
      </w:tr>
      <w:tr w:rsidR="00F376F6" w14:paraId="1C755BBC" w14:textId="77777777" w:rsidTr="00A85409">
        <w:trPr>
          <w:trHeight w:val="845"/>
        </w:trPr>
        <w:tc>
          <w:tcPr>
            <w:tcW w:w="5304" w:type="dxa"/>
          </w:tcPr>
          <w:p w14:paraId="3DD486BD" w14:textId="77777777" w:rsidR="00F376F6" w:rsidRPr="00A85409" w:rsidRDefault="002B7C08">
            <w:pPr>
              <w:pStyle w:val="TableParagraph"/>
              <w:spacing w:line="274" w:lineRule="exact"/>
              <w:rPr>
                <w:b/>
              </w:rPr>
            </w:pPr>
            <w:r w:rsidRPr="00A85409">
              <w:rPr>
                <w:b/>
              </w:rPr>
              <w:t>Accountable to</w:t>
            </w:r>
          </w:p>
          <w:p w14:paraId="1D41C718" w14:textId="1F25524F" w:rsidR="00F376F6" w:rsidRPr="00A85409" w:rsidRDefault="005F3952">
            <w:pPr>
              <w:pStyle w:val="TableParagraph"/>
              <w:spacing w:before="137"/>
            </w:pPr>
            <w:r w:rsidRPr="00A85409">
              <w:t>Senior Prospect Researcher</w:t>
            </w:r>
          </w:p>
        </w:tc>
        <w:tc>
          <w:tcPr>
            <w:tcW w:w="3569" w:type="dxa"/>
            <w:tcBorders>
              <w:top w:val="single" w:sz="4" w:space="0" w:color="000000"/>
            </w:tcBorders>
          </w:tcPr>
          <w:p w14:paraId="7F7FB3AA" w14:textId="77777777" w:rsidR="00F376F6" w:rsidRPr="00A85409" w:rsidRDefault="002B7C08">
            <w:pPr>
              <w:pStyle w:val="TableParagraph"/>
              <w:spacing w:line="274" w:lineRule="exact"/>
              <w:rPr>
                <w:b/>
              </w:rPr>
            </w:pPr>
            <w:r w:rsidRPr="00A85409">
              <w:rPr>
                <w:b/>
              </w:rPr>
              <w:t>Weeks per</w:t>
            </w:r>
            <w:r w:rsidRPr="00A85409">
              <w:rPr>
                <w:b/>
                <w:spacing w:val="-10"/>
              </w:rPr>
              <w:t xml:space="preserve"> </w:t>
            </w:r>
            <w:r w:rsidRPr="00A85409">
              <w:rPr>
                <w:b/>
              </w:rPr>
              <w:t>year</w:t>
            </w:r>
          </w:p>
          <w:p w14:paraId="611C79B1" w14:textId="03B7A2CE" w:rsidR="00F376F6" w:rsidRPr="00A85409" w:rsidRDefault="005F3952">
            <w:pPr>
              <w:pStyle w:val="TableParagraph"/>
              <w:spacing w:before="137"/>
            </w:pPr>
            <w:r w:rsidRPr="00A85409">
              <w:t>F/T (52 weeks)</w:t>
            </w:r>
          </w:p>
        </w:tc>
      </w:tr>
      <w:tr w:rsidR="00F376F6" w14:paraId="46213719" w14:textId="77777777" w:rsidTr="00A85409">
        <w:trPr>
          <w:trHeight w:val="819"/>
        </w:trPr>
        <w:tc>
          <w:tcPr>
            <w:tcW w:w="5304" w:type="dxa"/>
          </w:tcPr>
          <w:p w14:paraId="5D4D0C5E" w14:textId="77777777" w:rsidR="00F376F6" w:rsidRPr="00A85409" w:rsidRDefault="002B7C08">
            <w:pPr>
              <w:pStyle w:val="TableParagraph"/>
              <w:rPr>
                <w:b/>
              </w:rPr>
            </w:pPr>
            <w:r w:rsidRPr="00A85409">
              <w:rPr>
                <w:b/>
              </w:rPr>
              <w:t>Salary</w:t>
            </w:r>
          </w:p>
          <w:p w14:paraId="6FE06084" w14:textId="51D80146" w:rsidR="00F376F6" w:rsidRPr="00A85409" w:rsidRDefault="00185BAA">
            <w:pPr>
              <w:pStyle w:val="TableParagraph"/>
              <w:spacing w:before="137"/>
            </w:pPr>
            <w:r w:rsidRPr="00A85409">
              <w:t xml:space="preserve">£36,532 - </w:t>
            </w:r>
            <w:r w:rsidR="009F3673" w:rsidRPr="00A85409">
              <w:t>£4</w:t>
            </w:r>
            <w:r w:rsidR="008E18A3">
              <w:t>4,865 per annum</w:t>
            </w:r>
          </w:p>
        </w:tc>
        <w:tc>
          <w:tcPr>
            <w:tcW w:w="3569" w:type="dxa"/>
          </w:tcPr>
          <w:p w14:paraId="0DE39726" w14:textId="77777777" w:rsidR="00F376F6" w:rsidRPr="00A85409" w:rsidRDefault="002B7C08">
            <w:pPr>
              <w:pStyle w:val="TableParagraph"/>
              <w:rPr>
                <w:b/>
              </w:rPr>
            </w:pPr>
            <w:r w:rsidRPr="00A85409">
              <w:rPr>
                <w:b/>
              </w:rPr>
              <w:t>Grade</w:t>
            </w:r>
          </w:p>
          <w:p w14:paraId="6F2A558F" w14:textId="1386507C" w:rsidR="00F376F6" w:rsidRPr="00A85409" w:rsidRDefault="009F3673">
            <w:pPr>
              <w:pStyle w:val="TableParagraph"/>
              <w:spacing w:before="137"/>
            </w:pPr>
            <w:r w:rsidRPr="00A85409">
              <w:t>4</w:t>
            </w:r>
          </w:p>
        </w:tc>
      </w:tr>
    </w:tbl>
    <w:p w14:paraId="034BA682" w14:textId="77777777" w:rsidR="00F376F6" w:rsidRDefault="00F376F6">
      <w:pPr>
        <w:rPr>
          <w:b/>
          <w:sz w:val="20"/>
        </w:rPr>
      </w:pPr>
    </w:p>
    <w:p w14:paraId="083F7656" w14:textId="77777777" w:rsidR="00F376F6" w:rsidRDefault="00F376F6">
      <w:pPr>
        <w:spacing w:before="9" w:after="1"/>
        <w:rPr>
          <w:b/>
          <w:sz w:val="19"/>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
        <w:gridCol w:w="8790"/>
      </w:tblGrid>
      <w:tr w:rsidR="00F376F6" w14:paraId="1FA9487E" w14:textId="77777777" w:rsidTr="00CB5951">
        <w:trPr>
          <w:trHeight w:val="536"/>
        </w:trPr>
        <w:tc>
          <w:tcPr>
            <w:tcW w:w="8808" w:type="dxa"/>
            <w:gridSpan w:val="2"/>
            <w:tcBorders>
              <w:left w:val="single" w:sz="8" w:space="0" w:color="000000"/>
              <w:bottom w:val="single" w:sz="8" w:space="0" w:color="000000"/>
              <w:right w:val="single" w:sz="8" w:space="0" w:color="000000"/>
            </w:tcBorders>
          </w:tcPr>
          <w:p w14:paraId="05AB8210" w14:textId="77777777" w:rsidR="00F376F6" w:rsidRDefault="002B7C08">
            <w:pPr>
              <w:pStyle w:val="TableParagraph"/>
              <w:spacing w:line="318" w:lineRule="exact"/>
              <w:ind w:left="3316" w:right="3297"/>
              <w:jc w:val="center"/>
              <w:rPr>
                <w:b/>
                <w:sz w:val="28"/>
              </w:rPr>
            </w:pPr>
            <w:r>
              <w:rPr>
                <w:b/>
                <w:sz w:val="28"/>
              </w:rPr>
              <w:t>Job Description</w:t>
            </w:r>
          </w:p>
        </w:tc>
      </w:tr>
      <w:tr w:rsidR="00F376F6" w14:paraId="3516367E" w14:textId="77777777" w:rsidTr="00CB5951">
        <w:trPr>
          <w:trHeight w:val="829"/>
        </w:trPr>
        <w:tc>
          <w:tcPr>
            <w:tcW w:w="8808" w:type="dxa"/>
            <w:gridSpan w:val="2"/>
            <w:tcBorders>
              <w:top w:val="single" w:sz="8" w:space="0" w:color="000000"/>
              <w:left w:val="single" w:sz="8" w:space="0" w:color="000000"/>
              <w:bottom w:val="single" w:sz="4" w:space="0" w:color="auto"/>
              <w:right w:val="single" w:sz="8" w:space="0" w:color="000000"/>
            </w:tcBorders>
          </w:tcPr>
          <w:p w14:paraId="477EECC2" w14:textId="47F0CA2D" w:rsidR="0032335A" w:rsidRDefault="0032335A" w:rsidP="0032335A">
            <w:pPr>
              <w:rPr>
                <w:rFonts w:eastAsia="Times New Roman"/>
                <w:b/>
                <w:lang w:bidi="ar-SA"/>
              </w:rPr>
            </w:pPr>
            <w:r>
              <w:rPr>
                <w:b/>
              </w:rPr>
              <w:t>About UAL and the Development Operations Team</w:t>
            </w:r>
          </w:p>
          <w:p w14:paraId="6B4D9AAD" w14:textId="77777777" w:rsidR="0032335A" w:rsidRDefault="0032335A" w:rsidP="0032335A"/>
          <w:p w14:paraId="1B33D4A3" w14:textId="77777777" w:rsidR="0032335A" w:rsidRDefault="0032335A" w:rsidP="0032335A">
            <w:pPr>
              <w:rPr>
                <w:color w:val="000000"/>
                <w:shd w:val="clear" w:color="auto" w:fill="FFFFFF"/>
              </w:rPr>
            </w:pPr>
            <w:r>
              <w:rPr>
                <w:color w:val="000000"/>
                <w:shd w:val="clear" w:color="auto" w:fill="FFFFFF"/>
              </w:rPr>
              <w:t xml:space="preserve">UAL has a world-class reputation and is made up of 6 equally renowned Colleges: Camberwell College of Arts, Central Saint Martins, Chelsea College of Arts, London College of Communication, London College of Fashion and Wimbledon College of Arts. For the fourth year running, University of the Arts London (UAL) has been ranked second in the world for Art and Design in the QS World University Rankings®. </w:t>
            </w:r>
          </w:p>
          <w:p w14:paraId="2E71395F" w14:textId="77777777" w:rsidR="0032335A" w:rsidRDefault="0032335A" w:rsidP="0032335A">
            <w:pPr>
              <w:rPr>
                <w:color w:val="000000"/>
                <w:shd w:val="clear" w:color="auto" w:fill="FFFFFF"/>
              </w:rPr>
            </w:pPr>
          </w:p>
          <w:p w14:paraId="48B2C847" w14:textId="456547F8" w:rsidR="0032335A" w:rsidRDefault="0032335A" w:rsidP="0032335A">
            <w:pPr>
              <w:rPr>
                <w:color w:val="000000"/>
                <w:shd w:val="clear" w:color="auto" w:fill="FFFFFF"/>
              </w:rPr>
            </w:pPr>
            <w:r>
              <w:rPr>
                <w:color w:val="000000"/>
                <w:shd w:val="clear" w:color="auto" w:fill="FFFFFF"/>
              </w:rPr>
              <w:t xml:space="preserve">This is an exciting time to join the university, as we recently launched our new </w:t>
            </w:r>
            <w:proofErr w:type="gramStart"/>
            <w:r>
              <w:rPr>
                <w:color w:val="000000"/>
                <w:shd w:val="clear" w:color="auto" w:fill="FFFFFF"/>
              </w:rPr>
              <w:t>10 year</w:t>
            </w:r>
            <w:proofErr w:type="gramEnd"/>
            <w:r>
              <w:rPr>
                <w:color w:val="000000"/>
                <w:shd w:val="clear" w:color="auto" w:fill="FFFFFF"/>
              </w:rPr>
              <w:t xml:space="preserve"> strategy – The World Needs Creativity – to deliver our social purpose in a changing world. Key to delivering the strategy will be UAL’s first ever fundraising campaign, which aims to raise £50</w:t>
            </w:r>
            <w:r w:rsidR="00D1317D">
              <w:rPr>
                <w:color w:val="000000"/>
                <w:shd w:val="clear" w:color="auto" w:fill="FFFFFF"/>
              </w:rPr>
              <w:t xml:space="preserve"> </w:t>
            </w:r>
            <w:r>
              <w:rPr>
                <w:color w:val="000000"/>
                <w:shd w:val="clear" w:color="auto" w:fill="FFFFFF"/>
              </w:rPr>
              <w:t>million for student support, academic excellence, social impact, and capital projects such as the new London College of Fashion and London College of Communication campuses.</w:t>
            </w:r>
          </w:p>
          <w:p w14:paraId="0DBA32AC" w14:textId="77777777" w:rsidR="0032335A" w:rsidRDefault="0032335A" w:rsidP="0032335A"/>
          <w:p w14:paraId="78E6C81A" w14:textId="18DA7C7B" w:rsidR="007C26C0" w:rsidRDefault="0078082B" w:rsidP="0032335A">
            <w:pPr>
              <w:pStyle w:val="TableParagraph"/>
              <w:ind w:left="0"/>
            </w:pPr>
            <w:r>
              <w:t xml:space="preserve">The </w:t>
            </w:r>
            <w:r w:rsidR="005B1F5F">
              <w:t>Development Operations</w:t>
            </w:r>
            <w:r w:rsidR="0032335A">
              <w:t xml:space="preserve"> team </w:t>
            </w:r>
            <w:r w:rsidR="000811F8">
              <w:t>(currently comprised of Head of Development Operations and Senior Prospect Researche</w:t>
            </w:r>
            <w:r w:rsidR="002411FE">
              <w:t>r</w:t>
            </w:r>
            <w:r w:rsidR="000811F8">
              <w:t>)</w:t>
            </w:r>
            <w:r w:rsidR="0032335A">
              <w:t xml:space="preserve"> </w:t>
            </w:r>
            <w:r w:rsidR="002411FE">
              <w:t xml:space="preserve">is part of </w:t>
            </w:r>
            <w:r w:rsidR="0032335A">
              <w:t>the UAL Development Department</w:t>
            </w:r>
            <w:r w:rsidR="00A122F2">
              <w:t>, and</w:t>
            </w:r>
            <w:r w:rsidR="0032335A">
              <w:t xml:space="preserve"> supports </w:t>
            </w:r>
            <w:r w:rsidR="00A122F2">
              <w:t>UAL’s</w:t>
            </w:r>
            <w:r w:rsidR="0032335A">
              <w:t xml:space="preserve"> objectives</w:t>
            </w:r>
            <w:r w:rsidR="00A122F2">
              <w:t>, fundraising</w:t>
            </w:r>
            <w:r w:rsidR="007E68CB">
              <w:t>, events</w:t>
            </w:r>
            <w:r w:rsidR="00591553">
              <w:t>,</w:t>
            </w:r>
            <w:r w:rsidR="00A122F2">
              <w:t xml:space="preserve"> and alumni relations</w:t>
            </w:r>
            <w:r w:rsidR="0032335A">
              <w:t xml:space="preserve"> </w:t>
            </w:r>
            <w:r w:rsidR="007C26C0">
              <w:t>in four key areas:</w:t>
            </w:r>
          </w:p>
          <w:p w14:paraId="00B597E0" w14:textId="1ABC2FE0" w:rsidR="007C26C0" w:rsidRDefault="00A122F2" w:rsidP="007C26C0">
            <w:pPr>
              <w:pStyle w:val="TableParagraph"/>
              <w:numPr>
                <w:ilvl w:val="0"/>
                <w:numId w:val="6"/>
              </w:numPr>
            </w:pPr>
            <w:r>
              <w:t>donor and alumni database (Raiser’s Edge)</w:t>
            </w:r>
            <w:r w:rsidR="00591553">
              <w:t xml:space="preserve"> management,</w:t>
            </w:r>
          </w:p>
          <w:p w14:paraId="205F48AA" w14:textId="4085608B" w:rsidR="007C26C0" w:rsidRDefault="00404241" w:rsidP="007C26C0">
            <w:pPr>
              <w:pStyle w:val="TableParagraph"/>
              <w:numPr>
                <w:ilvl w:val="0"/>
                <w:numId w:val="6"/>
              </w:numPr>
            </w:pPr>
            <w:r>
              <w:t>prospect research and portfolio management</w:t>
            </w:r>
            <w:r w:rsidR="00E063EE">
              <w:t>,</w:t>
            </w:r>
            <w:r>
              <w:t xml:space="preserve"> </w:t>
            </w:r>
          </w:p>
          <w:p w14:paraId="2100A949" w14:textId="77777777" w:rsidR="007C26C0" w:rsidRDefault="00404241" w:rsidP="007C26C0">
            <w:pPr>
              <w:pStyle w:val="TableParagraph"/>
              <w:numPr>
                <w:ilvl w:val="0"/>
                <w:numId w:val="6"/>
              </w:numPr>
            </w:pPr>
            <w:r>
              <w:t>reporting and insight</w:t>
            </w:r>
            <w:r w:rsidR="005531F1">
              <w:t xml:space="preserve">, and </w:t>
            </w:r>
          </w:p>
          <w:p w14:paraId="7F09BCA3" w14:textId="02736BF1" w:rsidR="0032335A" w:rsidRDefault="005531F1" w:rsidP="007C26C0">
            <w:pPr>
              <w:pStyle w:val="TableParagraph"/>
              <w:numPr>
                <w:ilvl w:val="0"/>
                <w:numId w:val="6"/>
              </w:numPr>
            </w:pPr>
            <w:r>
              <w:t>data governance and</w:t>
            </w:r>
            <w:r w:rsidR="00404241">
              <w:t xml:space="preserve"> </w:t>
            </w:r>
            <w:r w:rsidR="00A41670">
              <w:t>compliance</w:t>
            </w:r>
            <w:r>
              <w:t>.</w:t>
            </w:r>
          </w:p>
          <w:p w14:paraId="457701CE" w14:textId="77777777" w:rsidR="005531F1" w:rsidRDefault="005531F1" w:rsidP="0032335A">
            <w:pPr>
              <w:pStyle w:val="TableParagraph"/>
              <w:ind w:left="0"/>
            </w:pPr>
          </w:p>
          <w:p w14:paraId="261F646C" w14:textId="77777777" w:rsidR="005531F1" w:rsidRDefault="005531F1" w:rsidP="0032335A">
            <w:pPr>
              <w:pStyle w:val="TableParagraph"/>
              <w:ind w:left="0"/>
              <w:rPr>
                <w:b/>
              </w:rPr>
            </w:pPr>
          </w:p>
          <w:p w14:paraId="3887CD4A" w14:textId="77777777" w:rsidR="0032335A" w:rsidRDefault="0032335A" w:rsidP="0046094F">
            <w:pPr>
              <w:pStyle w:val="TableParagraph"/>
              <w:ind w:left="0"/>
              <w:rPr>
                <w:b/>
              </w:rPr>
            </w:pPr>
          </w:p>
          <w:p w14:paraId="5026BE4A" w14:textId="77777777" w:rsidR="0032335A" w:rsidRDefault="0032335A" w:rsidP="0046094F">
            <w:pPr>
              <w:pStyle w:val="TableParagraph"/>
              <w:ind w:left="0"/>
              <w:rPr>
                <w:b/>
              </w:rPr>
            </w:pPr>
          </w:p>
          <w:p w14:paraId="7E7C5507" w14:textId="77777777" w:rsidR="0032335A" w:rsidRDefault="0032335A" w:rsidP="0046094F">
            <w:pPr>
              <w:pStyle w:val="TableParagraph"/>
              <w:ind w:left="0"/>
              <w:rPr>
                <w:b/>
              </w:rPr>
            </w:pPr>
          </w:p>
          <w:p w14:paraId="2E69ED75" w14:textId="3396BAC4" w:rsidR="00F376F6" w:rsidRPr="00AD27CD" w:rsidRDefault="002B7C08" w:rsidP="0046094F">
            <w:pPr>
              <w:pStyle w:val="TableParagraph"/>
              <w:ind w:left="0"/>
              <w:rPr>
                <w:b/>
              </w:rPr>
            </w:pPr>
            <w:r w:rsidRPr="00AD27CD">
              <w:rPr>
                <w:b/>
              </w:rPr>
              <w:t>Purpose of Role</w:t>
            </w:r>
          </w:p>
          <w:p w14:paraId="6D838B47" w14:textId="77777777" w:rsidR="007759F0" w:rsidRPr="00AD27CD" w:rsidRDefault="007759F0">
            <w:pPr>
              <w:pStyle w:val="TableParagraph"/>
              <w:rPr>
                <w:b/>
              </w:rPr>
            </w:pPr>
          </w:p>
          <w:p w14:paraId="4493F589" w14:textId="667E98B4" w:rsidR="00252A42" w:rsidRDefault="0078082B" w:rsidP="007759F0">
            <w:pPr>
              <w:pStyle w:val="TableParagraph"/>
              <w:ind w:left="0"/>
              <w:rPr>
                <w:bCs/>
              </w:rPr>
            </w:pPr>
            <w:r>
              <w:rPr>
                <w:bCs/>
              </w:rPr>
              <w:t xml:space="preserve">The </w:t>
            </w:r>
            <w:r w:rsidR="007759F0" w:rsidRPr="00AD27CD">
              <w:rPr>
                <w:bCs/>
              </w:rPr>
              <w:t xml:space="preserve">Development Operations Officer is </w:t>
            </w:r>
            <w:r w:rsidR="009736DB" w:rsidRPr="00AD27CD">
              <w:rPr>
                <w:bCs/>
              </w:rPr>
              <w:t xml:space="preserve">a new role in UAL’s Development Operations team. Reporting to the Senior Prospect Researcher, and working closely with the Head of Development Operations, you will support our fundraising and alumni relations </w:t>
            </w:r>
            <w:r w:rsidR="00252A42" w:rsidRPr="00AD27CD">
              <w:rPr>
                <w:bCs/>
              </w:rPr>
              <w:t xml:space="preserve">through prospect research and </w:t>
            </w:r>
            <w:r w:rsidR="008D09BA" w:rsidRPr="00AD27CD">
              <w:rPr>
                <w:bCs/>
              </w:rPr>
              <w:t xml:space="preserve">alumni </w:t>
            </w:r>
            <w:r w:rsidR="00252A42" w:rsidRPr="00AD27CD">
              <w:rPr>
                <w:bCs/>
              </w:rPr>
              <w:t xml:space="preserve">data management. </w:t>
            </w:r>
            <w:r w:rsidR="00116542" w:rsidRPr="00AD27CD">
              <w:rPr>
                <w:bCs/>
              </w:rPr>
              <w:t xml:space="preserve">In this role, you will have the opportunity to </w:t>
            </w:r>
            <w:r w:rsidR="00C7452B" w:rsidRPr="00AD27CD">
              <w:rPr>
                <w:bCs/>
              </w:rPr>
              <w:t xml:space="preserve">undertake research into donors, prospective </w:t>
            </w:r>
            <w:r w:rsidR="000447D4" w:rsidRPr="00AD27CD">
              <w:rPr>
                <w:bCs/>
              </w:rPr>
              <w:t>donors,</w:t>
            </w:r>
            <w:r w:rsidR="00C7452B" w:rsidRPr="00AD27CD">
              <w:rPr>
                <w:bCs/>
              </w:rPr>
              <w:t xml:space="preserve"> and strategic partners, while </w:t>
            </w:r>
            <w:r w:rsidR="0024707F" w:rsidRPr="00AD27CD">
              <w:rPr>
                <w:bCs/>
              </w:rPr>
              <w:t xml:space="preserve">utilising your database and Excel skills to manage alumni data updates. </w:t>
            </w:r>
          </w:p>
          <w:p w14:paraId="255BDEC7" w14:textId="77777777" w:rsidR="0046094F" w:rsidRDefault="0046094F" w:rsidP="007759F0">
            <w:pPr>
              <w:pStyle w:val="TableParagraph"/>
              <w:ind w:left="0"/>
              <w:rPr>
                <w:bCs/>
              </w:rPr>
            </w:pPr>
          </w:p>
          <w:p w14:paraId="75F8B5A4" w14:textId="4E73C7CF" w:rsidR="00991903" w:rsidRDefault="00412672" w:rsidP="00211878">
            <w:pPr>
              <w:pStyle w:val="TableParagraph"/>
              <w:ind w:left="0"/>
              <w:rPr>
                <w:bCs/>
              </w:rPr>
            </w:pPr>
            <w:r>
              <w:rPr>
                <w:bCs/>
              </w:rPr>
              <w:t>Together with</w:t>
            </w:r>
            <w:r w:rsidR="0078082B">
              <w:rPr>
                <w:bCs/>
              </w:rPr>
              <w:t xml:space="preserve"> the</w:t>
            </w:r>
            <w:r>
              <w:rPr>
                <w:bCs/>
              </w:rPr>
              <w:t xml:space="preserve"> Senior Prospect Researcher, y</w:t>
            </w:r>
            <w:r w:rsidR="00C85DF2" w:rsidRPr="00AD27CD">
              <w:rPr>
                <w:bCs/>
              </w:rPr>
              <w:t xml:space="preserve">ou will </w:t>
            </w:r>
            <w:r w:rsidR="00ED24A8">
              <w:rPr>
                <w:bCs/>
              </w:rPr>
              <w:t>support</w:t>
            </w:r>
            <w:r w:rsidR="00C85DF2" w:rsidRPr="00AD27CD">
              <w:rPr>
                <w:bCs/>
              </w:rPr>
              <w:t xml:space="preserve"> </w:t>
            </w:r>
            <w:r>
              <w:rPr>
                <w:bCs/>
              </w:rPr>
              <w:t xml:space="preserve">our </w:t>
            </w:r>
            <w:r w:rsidR="007B6541" w:rsidRPr="00AD27CD">
              <w:rPr>
                <w:bCs/>
              </w:rPr>
              <w:t xml:space="preserve">fundraising </w:t>
            </w:r>
            <w:r w:rsidR="00763041">
              <w:rPr>
                <w:bCs/>
              </w:rPr>
              <w:t xml:space="preserve">and events </w:t>
            </w:r>
            <w:r w:rsidR="00211878">
              <w:rPr>
                <w:bCs/>
              </w:rPr>
              <w:t>team</w:t>
            </w:r>
            <w:r w:rsidR="00114A7D">
              <w:rPr>
                <w:bCs/>
              </w:rPr>
              <w:t>s</w:t>
            </w:r>
            <w:r w:rsidR="00211878">
              <w:rPr>
                <w:bCs/>
              </w:rPr>
              <w:t xml:space="preserve"> </w:t>
            </w:r>
            <w:r w:rsidR="006A54F3">
              <w:rPr>
                <w:bCs/>
              </w:rPr>
              <w:t xml:space="preserve">and produce timely due diligence reports on HNWIs, </w:t>
            </w:r>
            <w:r w:rsidR="009B5CA5">
              <w:rPr>
                <w:bCs/>
              </w:rPr>
              <w:t>c</w:t>
            </w:r>
            <w:r w:rsidR="005F49B6">
              <w:rPr>
                <w:bCs/>
              </w:rPr>
              <w:t xml:space="preserve">orporates, and Trusts and Foundations; identify </w:t>
            </w:r>
            <w:r w:rsidR="00FB3329">
              <w:rPr>
                <w:bCs/>
              </w:rPr>
              <w:t xml:space="preserve">new and </w:t>
            </w:r>
            <w:r w:rsidR="00F94F59">
              <w:rPr>
                <w:bCs/>
              </w:rPr>
              <w:t xml:space="preserve">potential donors; </w:t>
            </w:r>
            <w:r w:rsidR="00FB3329">
              <w:rPr>
                <w:bCs/>
              </w:rPr>
              <w:t>create network maps of our existing supporters</w:t>
            </w:r>
            <w:r w:rsidR="000E61D6">
              <w:rPr>
                <w:bCs/>
              </w:rPr>
              <w:t xml:space="preserve">; </w:t>
            </w:r>
            <w:r w:rsidR="00D839A4">
              <w:rPr>
                <w:bCs/>
              </w:rPr>
              <w:t xml:space="preserve">and </w:t>
            </w:r>
            <w:r w:rsidR="00114A7D">
              <w:rPr>
                <w:bCs/>
              </w:rPr>
              <w:t xml:space="preserve">produce event profiles and briefing notes. </w:t>
            </w:r>
            <w:r w:rsidR="00991903">
              <w:rPr>
                <w:bCs/>
              </w:rPr>
              <w:t xml:space="preserve">This will be </w:t>
            </w:r>
            <w:r w:rsidR="00DF098C">
              <w:rPr>
                <w:bCs/>
              </w:rPr>
              <w:t>crucial in supporting the imminent launch of our first-ever comprehensive Campaign</w:t>
            </w:r>
            <w:r w:rsidR="004C2AAF">
              <w:rPr>
                <w:bCs/>
              </w:rPr>
              <w:t>, as well as our well-established series of Development events</w:t>
            </w:r>
            <w:r w:rsidR="000E61D6">
              <w:rPr>
                <w:bCs/>
              </w:rPr>
              <w:t>.</w:t>
            </w:r>
          </w:p>
          <w:p w14:paraId="74B90782" w14:textId="77777777" w:rsidR="00FD6419" w:rsidRDefault="00FD6419" w:rsidP="00211878">
            <w:pPr>
              <w:pStyle w:val="TableParagraph"/>
              <w:ind w:left="0"/>
              <w:rPr>
                <w:bCs/>
              </w:rPr>
            </w:pPr>
          </w:p>
          <w:p w14:paraId="33D6616D" w14:textId="023DDFE5" w:rsidR="00EB60CB" w:rsidRDefault="009B5CA5" w:rsidP="00211878">
            <w:pPr>
              <w:pStyle w:val="TableParagraph"/>
              <w:ind w:left="0"/>
              <w:rPr>
                <w:bCs/>
              </w:rPr>
            </w:pPr>
            <w:r>
              <w:rPr>
                <w:bCs/>
              </w:rPr>
              <w:t xml:space="preserve">You will also </w:t>
            </w:r>
            <w:r w:rsidR="00E407DA">
              <w:rPr>
                <w:bCs/>
              </w:rPr>
              <w:t xml:space="preserve">provide support to UAL’s alumni team, by ensuring alumni data we hold on Raiser’s Edge is </w:t>
            </w:r>
            <w:r w:rsidR="0035010F">
              <w:rPr>
                <w:bCs/>
              </w:rPr>
              <w:t>accurate and up to date</w:t>
            </w:r>
            <w:r w:rsidR="00D839A4">
              <w:rPr>
                <w:bCs/>
              </w:rPr>
              <w:t xml:space="preserve">. </w:t>
            </w:r>
            <w:r w:rsidR="00964EB6">
              <w:rPr>
                <w:bCs/>
              </w:rPr>
              <w:t xml:space="preserve">You will use various sources </w:t>
            </w:r>
            <w:r w:rsidR="0084711E">
              <w:rPr>
                <w:bCs/>
              </w:rPr>
              <w:t xml:space="preserve">(online webform, SITS, </w:t>
            </w:r>
            <w:r w:rsidR="001F3CA5">
              <w:rPr>
                <w:bCs/>
              </w:rPr>
              <w:t>P</w:t>
            </w:r>
            <w:r w:rsidR="0084711E">
              <w:rPr>
                <w:bCs/>
              </w:rPr>
              <w:t>ress</w:t>
            </w:r>
            <w:r w:rsidR="001F3CA5">
              <w:rPr>
                <w:bCs/>
              </w:rPr>
              <w:t xml:space="preserve"> Office bulletins</w:t>
            </w:r>
            <w:r w:rsidR="0084711E">
              <w:rPr>
                <w:bCs/>
              </w:rPr>
              <w:t xml:space="preserve">) </w:t>
            </w:r>
            <w:r w:rsidR="001F3CA5">
              <w:rPr>
                <w:bCs/>
              </w:rPr>
              <w:t xml:space="preserve">in </w:t>
            </w:r>
            <w:r w:rsidR="00C51955">
              <w:rPr>
                <w:bCs/>
              </w:rPr>
              <w:t xml:space="preserve">regular intervals (weekly, monthly, annually) to ensure </w:t>
            </w:r>
            <w:r w:rsidR="00E15E4D">
              <w:rPr>
                <w:bCs/>
              </w:rPr>
              <w:t xml:space="preserve">personal, </w:t>
            </w:r>
            <w:r w:rsidR="00C51955">
              <w:rPr>
                <w:bCs/>
              </w:rPr>
              <w:t xml:space="preserve">contact, education, and business details of our alumni are </w:t>
            </w:r>
            <w:r w:rsidR="00044317">
              <w:rPr>
                <w:bCs/>
              </w:rPr>
              <w:t xml:space="preserve">recorded </w:t>
            </w:r>
            <w:r w:rsidR="0099519E">
              <w:rPr>
                <w:bCs/>
              </w:rPr>
              <w:t>as appropriate.</w:t>
            </w:r>
            <w:r w:rsidR="00897437">
              <w:rPr>
                <w:bCs/>
              </w:rPr>
              <w:t xml:space="preserve"> </w:t>
            </w:r>
            <w:r w:rsidR="00EB60CB">
              <w:rPr>
                <w:bCs/>
              </w:rPr>
              <w:t xml:space="preserve">You will be an advocate of best practices in database management, </w:t>
            </w:r>
            <w:r w:rsidR="007E54F1">
              <w:rPr>
                <w:bCs/>
              </w:rPr>
              <w:t>act as a point o</w:t>
            </w:r>
            <w:r w:rsidR="00413C50">
              <w:rPr>
                <w:bCs/>
              </w:rPr>
              <w:t xml:space="preserve">f contact for research and alumni data queries and reports, and together with Head of Development Operations </w:t>
            </w:r>
            <w:r w:rsidR="00437A98">
              <w:rPr>
                <w:bCs/>
              </w:rPr>
              <w:t xml:space="preserve">produce user guides and training materials for Raiser’s Edge users. </w:t>
            </w:r>
          </w:p>
          <w:p w14:paraId="58410759" w14:textId="77777777" w:rsidR="00437A98" w:rsidRDefault="00437A98" w:rsidP="00211878">
            <w:pPr>
              <w:pStyle w:val="TableParagraph"/>
              <w:ind w:left="0"/>
              <w:rPr>
                <w:bCs/>
              </w:rPr>
            </w:pPr>
          </w:p>
          <w:p w14:paraId="3C4EC632" w14:textId="42DB6B99" w:rsidR="00211878" w:rsidRPr="00AD27CD" w:rsidRDefault="00211878" w:rsidP="00211878">
            <w:pPr>
              <w:pStyle w:val="TableParagraph"/>
              <w:ind w:left="0"/>
              <w:rPr>
                <w:bCs/>
              </w:rPr>
            </w:pPr>
          </w:p>
        </w:tc>
      </w:tr>
      <w:tr w:rsidR="00F376F6" w14:paraId="0C316769" w14:textId="77777777" w:rsidTr="00CB5951">
        <w:trPr>
          <w:trHeight w:val="831"/>
        </w:trPr>
        <w:tc>
          <w:tcPr>
            <w:tcW w:w="8808" w:type="dxa"/>
            <w:gridSpan w:val="2"/>
            <w:tcBorders>
              <w:top w:val="single" w:sz="4" w:space="0" w:color="auto"/>
              <w:left w:val="single" w:sz="4" w:space="0" w:color="auto"/>
              <w:bottom w:val="nil"/>
              <w:right w:val="single" w:sz="4" w:space="0" w:color="auto"/>
            </w:tcBorders>
          </w:tcPr>
          <w:p w14:paraId="0E8D7898" w14:textId="77777777" w:rsidR="0028289F" w:rsidRPr="00522B7B" w:rsidRDefault="0028289F" w:rsidP="00AD27CD">
            <w:pPr>
              <w:pStyle w:val="TableParagraph"/>
              <w:rPr>
                <w:b/>
              </w:rPr>
            </w:pPr>
          </w:p>
          <w:p w14:paraId="228A0010" w14:textId="665206EB" w:rsidR="0028289F" w:rsidRPr="00522B7B" w:rsidRDefault="0028289F" w:rsidP="00AD27CD">
            <w:pPr>
              <w:pStyle w:val="TableParagraph"/>
              <w:rPr>
                <w:b/>
              </w:rPr>
            </w:pPr>
            <w:r w:rsidRPr="00522B7B">
              <w:rPr>
                <w:b/>
              </w:rPr>
              <w:t>Prospect research (60%)</w:t>
            </w:r>
          </w:p>
          <w:p w14:paraId="73E04C3F" w14:textId="77777777" w:rsidR="0028289F" w:rsidRPr="00522B7B" w:rsidRDefault="0028289F" w:rsidP="00AD27CD">
            <w:pPr>
              <w:pStyle w:val="TableParagraph"/>
              <w:rPr>
                <w:b/>
              </w:rPr>
            </w:pPr>
          </w:p>
          <w:p w14:paraId="75D8F472" w14:textId="7CBB1CCA" w:rsidR="00444444" w:rsidRPr="007D1BFD" w:rsidRDefault="007D1BFD" w:rsidP="00444444">
            <w:pPr>
              <w:widowControl/>
              <w:numPr>
                <w:ilvl w:val="0"/>
                <w:numId w:val="10"/>
              </w:numPr>
              <w:autoSpaceDE/>
              <w:autoSpaceDN/>
            </w:pPr>
            <w:r>
              <w:t>C</w:t>
            </w:r>
            <w:r w:rsidR="00444444" w:rsidRPr="007D1BFD">
              <w:t xml:space="preserve">onduct specific research under the guidance of the Senior Development Researcher and to undertake proactive research activities which meet the strategic objectives of the Development department, particularly those relating to the University’s fundraising </w:t>
            </w:r>
            <w:r w:rsidR="003B02DB">
              <w:t>C</w:t>
            </w:r>
            <w:r w:rsidR="00444444" w:rsidRPr="007D1BFD">
              <w:t>ampaign.</w:t>
            </w:r>
          </w:p>
          <w:p w14:paraId="04FB74EF" w14:textId="0E4BAF40" w:rsidR="00444444" w:rsidRPr="007D1BFD" w:rsidRDefault="007D1BFD" w:rsidP="00444444">
            <w:pPr>
              <w:widowControl/>
              <w:numPr>
                <w:ilvl w:val="0"/>
                <w:numId w:val="10"/>
              </w:numPr>
              <w:autoSpaceDE/>
              <w:autoSpaceDN/>
            </w:pPr>
            <w:r>
              <w:t>Lead on</w:t>
            </w:r>
            <w:r w:rsidR="00444444" w:rsidRPr="007D1BFD">
              <w:t xml:space="preserve"> due diligence </w:t>
            </w:r>
            <w:r w:rsidR="00444612" w:rsidRPr="007D1BFD">
              <w:t>procedures and</w:t>
            </w:r>
            <w:r w:rsidR="00444444" w:rsidRPr="007D1BFD">
              <w:t xml:space="preserve"> </w:t>
            </w:r>
            <w:r w:rsidR="003B02DB">
              <w:t>work closely with</w:t>
            </w:r>
            <w:r w:rsidR="00444444" w:rsidRPr="007D1BFD">
              <w:t xml:space="preserve"> Senior Development Researcher </w:t>
            </w:r>
            <w:r w:rsidR="003B02DB">
              <w:t xml:space="preserve">on identifying </w:t>
            </w:r>
            <w:r w:rsidR="00444444" w:rsidRPr="007D1BFD">
              <w:t>any potential donors or partners that represent a significant risk to the university’s reputation.</w:t>
            </w:r>
          </w:p>
          <w:p w14:paraId="1F26AA2F" w14:textId="23139C9E" w:rsidR="00444444" w:rsidRPr="007D1BFD" w:rsidRDefault="00444612" w:rsidP="00444444">
            <w:pPr>
              <w:widowControl/>
              <w:numPr>
                <w:ilvl w:val="0"/>
                <w:numId w:val="10"/>
              </w:numPr>
              <w:autoSpaceDE/>
              <w:autoSpaceDN/>
            </w:pPr>
            <w:r>
              <w:t>U</w:t>
            </w:r>
            <w:r w:rsidR="00444444" w:rsidRPr="007D1BFD">
              <w:t xml:space="preserve">ndertake research into donors, prospective </w:t>
            </w:r>
            <w:r w:rsidR="00950F4F" w:rsidRPr="007D1BFD">
              <w:t>donors,</w:t>
            </w:r>
            <w:r w:rsidR="00444444" w:rsidRPr="007D1BFD">
              <w:t xml:space="preserve"> and strategic partners, including individuals, trusts and foundations, companies</w:t>
            </w:r>
            <w:r w:rsidR="00010403">
              <w:t>,</w:t>
            </w:r>
            <w:r w:rsidR="00444444" w:rsidRPr="007D1BFD">
              <w:t xml:space="preserve"> and other organisations.</w:t>
            </w:r>
          </w:p>
          <w:p w14:paraId="38819A53" w14:textId="57E1CE4F" w:rsidR="00444444" w:rsidRPr="007D1BFD" w:rsidRDefault="00444612" w:rsidP="00444444">
            <w:pPr>
              <w:widowControl/>
              <w:numPr>
                <w:ilvl w:val="0"/>
                <w:numId w:val="10"/>
              </w:numPr>
              <w:autoSpaceDE/>
              <w:autoSpaceDN/>
            </w:pPr>
            <w:r>
              <w:t>P</w:t>
            </w:r>
            <w:r w:rsidR="00444444" w:rsidRPr="007D1BFD">
              <w:t xml:space="preserve">rovide profiles and briefing notes upon request and to feed into items such as event guest lists and prospect lists of those with interests aligned with campaign priorities. </w:t>
            </w:r>
          </w:p>
          <w:p w14:paraId="5479A014" w14:textId="6AD0E074" w:rsidR="00570FAB" w:rsidRPr="007D1BFD" w:rsidRDefault="00444612" w:rsidP="00570FAB">
            <w:pPr>
              <w:widowControl/>
              <w:numPr>
                <w:ilvl w:val="0"/>
                <w:numId w:val="10"/>
              </w:numPr>
              <w:autoSpaceDE/>
              <w:autoSpaceDN/>
            </w:pPr>
            <w:r>
              <w:t>P</w:t>
            </w:r>
            <w:r w:rsidR="00570FAB" w:rsidRPr="007D1BFD">
              <w:t>rovide support in researching suggested honorary degree recipients on an annual basis.</w:t>
            </w:r>
          </w:p>
          <w:p w14:paraId="5F0A2BCE" w14:textId="73B8CA1D" w:rsidR="00444444" w:rsidRPr="0051516A" w:rsidRDefault="00444444" w:rsidP="00570FAB">
            <w:pPr>
              <w:widowControl/>
              <w:autoSpaceDE/>
              <w:autoSpaceDN/>
              <w:ind w:left="720"/>
              <w:rPr>
                <w:sz w:val="20"/>
              </w:rPr>
            </w:pPr>
          </w:p>
          <w:p w14:paraId="2E4AB60E" w14:textId="77777777" w:rsidR="0028289F" w:rsidRPr="00522B7B" w:rsidRDefault="0028289F" w:rsidP="00AD27CD">
            <w:pPr>
              <w:pStyle w:val="TableParagraph"/>
              <w:rPr>
                <w:b/>
              </w:rPr>
            </w:pPr>
          </w:p>
          <w:p w14:paraId="0000B571" w14:textId="23311DA3" w:rsidR="0028289F" w:rsidRPr="00522B7B" w:rsidRDefault="0028289F" w:rsidP="00AD27CD">
            <w:pPr>
              <w:pStyle w:val="TableParagraph"/>
              <w:rPr>
                <w:b/>
              </w:rPr>
            </w:pPr>
            <w:r w:rsidRPr="00522B7B">
              <w:rPr>
                <w:b/>
              </w:rPr>
              <w:t>Data management (40%)</w:t>
            </w:r>
          </w:p>
          <w:p w14:paraId="363D5E95" w14:textId="68860A00" w:rsidR="0028289F" w:rsidRPr="00522B7B" w:rsidRDefault="0028289F" w:rsidP="00AD27CD">
            <w:pPr>
              <w:pStyle w:val="TableParagraph"/>
              <w:numPr>
                <w:ilvl w:val="0"/>
                <w:numId w:val="3"/>
              </w:numPr>
              <w:tabs>
                <w:tab w:val="left" w:pos="467"/>
                <w:tab w:val="left" w:pos="468"/>
              </w:tabs>
              <w:spacing w:before="140"/>
              <w:ind w:right="182"/>
            </w:pPr>
            <w:r w:rsidRPr="00522B7B">
              <w:t xml:space="preserve">Maintain, improve and update the database (Raiser's Edge), ensuring that information is entered consistently, accurately and in a timely fashion. </w:t>
            </w:r>
          </w:p>
          <w:p w14:paraId="19F05DA3" w14:textId="5F5C9315" w:rsidR="0028289F" w:rsidRPr="00522B7B" w:rsidRDefault="00E52DA8" w:rsidP="00AD27CD">
            <w:pPr>
              <w:pStyle w:val="TableParagraph"/>
              <w:numPr>
                <w:ilvl w:val="0"/>
                <w:numId w:val="3"/>
              </w:numPr>
              <w:tabs>
                <w:tab w:val="left" w:pos="467"/>
                <w:tab w:val="left" w:pos="468"/>
              </w:tabs>
              <w:spacing w:before="7"/>
              <w:ind w:right="352"/>
            </w:pPr>
            <w:r>
              <w:t>Manage</w:t>
            </w:r>
            <w:r w:rsidR="0028289F" w:rsidRPr="00522B7B">
              <w:t xml:space="preserve"> alumni data </w:t>
            </w:r>
            <w:r>
              <w:t>updates</w:t>
            </w:r>
            <w:r w:rsidR="0028289F" w:rsidRPr="00522B7B">
              <w:t xml:space="preserve"> through regular processing of updated information, including monthly web updates and annual graduate load from SITS</w:t>
            </w:r>
          </w:p>
          <w:p w14:paraId="47DD5126" w14:textId="3C3BB88B" w:rsidR="00E12369" w:rsidRPr="00104E0F" w:rsidRDefault="00E75373" w:rsidP="00E12369">
            <w:pPr>
              <w:pStyle w:val="ListParagraph"/>
              <w:numPr>
                <w:ilvl w:val="0"/>
                <w:numId w:val="3"/>
              </w:numPr>
            </w:pPr>
            <w:r>
              <w:t>E</w:t>
            </w:r>
            <w:r w:rsidR="00104E0F" w:rsidRPr="00104E0F">
              <w:t xml:space="preserve">nsure compliance with all relevant standards for Development and alumni relations activities, including those relating to data protection regulation, gift </w:t>
            </w:r>
            <w:r w:rsidR="00104E0F" w:rsidRPr="00104E0F">
              <w:lastRenderedPageBreak/>
              <w:t>processing, fraud and money laundering legislation, and others as appropriate</w:t>
            </w:r>
          </w:p>
          <w:p w14:paraId="78BCB250" w14:textId="5A238E6D" w:rsidR="0028289F" w:rsidRPr="00522B7B" w:rsidRDefault="00CD182F" w:rsidP="00AD27CD">
            <w:pPr>
              <w:pStyle w:val="TableParagraph"/>
              <w:numPr>
                <w:ilvl w:val="0"/>
                <w:numId w:val="3"/>
              </w:numPr>
              <w:tabs>
                <w:tab w:val="left" w:pos="467"/>
                <w:tab w:val="left" w:pos="468"/>
              </w:tabs>
              <w:spacing w:before="7"/>
              <w:ind w:right="352"/>
            </w:pPr>
            <w:r>
              <w:t xml:space="preserve">Act as a database champion and, together with Head of Development Operations, </w:t>
            </w:r>
            <w:r w:rsidR="00C53361">
              <w:t xml:space="preserve">work on </w:t>
            </w:r>
            <w:r w:rsidR="00CB5951">
              <w:t>promoting</w:t>
            </w:r>
            <w:r w:rsidR="00C53361">
              <w:t xml:space="preserve"> Raiser’s Edge </w:t>
            </w:r>
            <w:r w:rsidR="00CB5951">
              <w:t>best practices</w:t>
            </w:r>
            <w:r w:rsidR="005D1EDD">
              <w:t>.</w:t>
            </w:r>
            <w:r w:rsidR="00CB5951">
              <w:t xml:space="preserve"> </w:t>
            </w:r>
            <w:r w:rsidR="00C53361">
              <w:t xml:space="preserve"> </w:t>
            </w:r>
          </w:p>
          <w:p w14:paraId="189E4E60" w14:textId="6EAC7573" w:rsidR="00F376F6" w:rsidRPr="00522B7B" w:rsidRDefault="00F376F6" w:rsidP="00AD27CD">
            <w:pPr>
              <w:pStyle w:val="TableParagraph"/>
              <w:spacing w:before="9"/>
              <w:ind w:left="467"/>
            </w:pPr>
          </w:p>
        </w:tc>
      </w:tr>
      <w:tr w:rsidR="00CB5951" w14:paraId="15E29A5F" w14:textId="77777777" w:rsidTr="00CB5951">
        <w:trPr>
          <w:gridBefore w:val="1"/>
          <w:wBefore w:w="18" w:type="dxa"/>
          <w:trHeight w:val="4603"/>
        </w:trPr>
        <w:tc>
          <w:tcPr>
            <w:tcW w:w="8790" w:type="dxa"/>
            <w:tcBorders>
              <w:top w:val="nil"/>
              <w:left w:val="single" w:sz="4" w:space="0" w:color="auto"/>
              <w:bottom w:val="single" w:sz="4" w:space="0" w:color="auto"/>
              <w:right w:val="single" w:sz="4" w:space="0" w:color="auto"/>
            </w:tcBorders>
          </w:tcPr>
          <w:p w14:paraId="779ACFD4" w14:textId="77777777" w:rsidR="00CB5951" w:rsidRDefault="00CB5951" w:rsidP="00580D52">
            <w:pPr>
              <w:spacing w:after="120"/>
              <w:rPr>
                <w:rFonts w:eastAsia="Times New Roman"/>
                <w:b/>
                <w:lang w:bidi="ar-SA"/>
              </w:rPr>
            </w:pPr>
            <w:r>
              <w:rPr>
                <w:b/>
              </w:rPr>
              <w:lastRenderedPageBreak/>
              <w:t>General</w:t>
            </w:r>
          </w:p>
          <w:p w14:paraId="0923F6F3" w14:textId="77777777" w:rsidR="00CB5951" w:rsidRDefault="00CB5951" w:rsidP="00580D52">
            <w:pPr>
              <w:pStyle w:val="NormalWeb"/>
              <w:numPr>
                <w:ilvl w:val="0"/>
                <w:numId w:val="1"/>
              </w:numPr>
              <w:spacing w:before="0" w:beforeAutospacing="0" w:after="0" w:afterAutospacing="0"/>
              <w:rPr>
                <w:rFonts w:ascii="Arial" w:hAnsi="Arial" w:cs="Arial"/>
                <w:color w:val="000000"/>
                <w:sz w:val="22"/>
                <w:szCs w:val="27"/>
              </w:rPr>
            </w:pPr>
            <w:r>
              <w:rPr>
                <w:rFonts w:ascii="Arial" w:hAnsi="Arial" w:cs="Arial"/>
                <w:color w:val="000000"/>
                <w:sz w:val="22"/>
                <w:szCs w:val="27"/>
              </w:rPr>
              <w:t>To perform such duties consistent with your role as from time to time may be assigned to you anywhere within the University.</w:t>
            </w:r>
          </w:p>
          <w:p w14:paraId="43C5705D" w14:textId="77777777" w:rsidR="00CB5951" w:rsidRDefault="00CB5951" w:rsidP="00580D52">
            <w:pPr>
              <w:pStyle w:val="NormalWeb"/>
              <w:numPr>
                <w:ilvl w:val="0"/>
                <w:numId w:val="1"/>
              </w:numPr>
              <w:spacing w:before="0" w:beforeAutospacing="0" w:after="0" w:afterAutospacing="0"/>
              <w:rPr>
                <w:rFonts w:ascii="Arial" w:hAnsi="Arial" w:cs="Arial"/>
                <w:color w:val="000000"/>
                <w:sz w:val="22"/>
                <w:szCs w:val="27"/>
              </w:rPr>
            </w:pPr>
            <w:r>
              <w:rPr>
                <w:rFonts w:ascii="Arial" w:hAnsi="Arial" w:cs="Arial"/>
                <w:color w:val="000000"/>
                <w:sz w:val="22"/>
                <w:szCs w:val="27"/>
              </w:rPr>
              <w:t>To undertake health and safety duties and responsibilities appropriate to the role.</w:t>
            </w:r>
          </w:p>
          <w:p w14:paraId="08748072" w14:textId="77777777" w:rsidR="00CB5951" w:rsidRDefault="00CB5951" w:rsidP="00580D52">
            <w:pPr>
              <w:pStyle w:val="NormalWeb"/>
              <w:numPr>
                <w:ilvl w:val="0"/>
                <w:numId w:val="1"/>
              </w:numPr>
              <w:spacing w:before="0" w:beforeAutospacing="0" w:after="0" w:afterAutospacing="0"/>
              <w:rPr>
                <w:rFonts w:ascii="Arial" w:hAnsi="Arial" w:cs="Arial"/>
                <w:color w:val="000000"/>
                <w:sz w:val="22"/>
                <w:szCs w:val="27"/>
              </w:rPr>
            </w:pPr>
            <w:r>
              <w:rPr>
                <w:rFonts w:ascii="Arial" w:hAnsi="Arial" w:cs="Arial"/>
                <w:color w:val="000000"/>
                <w:sz w:val="22"/>
                <w:szCs w:val="27"/>
              </w:rPr>
              <w:t>To work in accordance with the University’s Equal Opportunities Policy and the Staff Charter, promoting equality and diversity in your work.</w:t>
            </w:r>
          </w:p>
          <w:p w14:paraId="78705506" w14:textId="77777777" w:rsidR="00CB5951" w:rsidRDefault="00CB5951" w:rsidP="00580D52">
            <w:pPr>
              <w:pStyle w:val="NormalWeb"/>
              <w:numPr>
                <w:ilvl w:val="0"/>
                <w:numId w:val="1"/>
              </w:numPr>
              <w:spacing w:before="0" w:beforeAutospacing="0" w:after="0" w:afterAutospacing="0"/>
              <w:rPr>
                <w:rFonts w:ascii="Arial" w:hAnsi="Arial" w:cs="Arial"/>
                <w:color w:val="000000"/>
                <w:sz w:val="22"/>
                <w:szCs w:val="27"/>
              </w:rPr>
            </w:pPr>
            <w:r>
              <w:rPr>
                <w:rFonts w:ascii="Arial" w:hAnsi="Arial" w:cs="Arial"/>
                <w:color w:val="000000"/>
                <w:sz w:val="22"/>
                <w:szCs w:val="27"/>
              </w:rPr>
              <w:t>To personally contribute towards reducing the University’s impact on the environment and support actions associated with the UAL Sustainability Manifesto (2016 – 2022).</w:t>
            </w:r>
          </w:p>
          <w:p w14:paraId="087ACF8E" w14:textId="77777777" w:rsidR="00CB5951" w:rsidRDefault="00CB5951" w:rsidP="00580D52">
            <w:pPr>
              <w:pStyle w:val="NormalWeb"/>
              <w:numPr>
                <w:ilvl w:val="0"/>
                <w:numId w:val="1"/>
              </w:numPr>
              <w:spacing w:before="0" w:beforeAutospacing="0" w:after="0" w:afterAutospacing="0"/>
              <w:rPr>
                <w:rFonts w:ascii="Arial" w:hAnsi="Arial" w:cs="Arial"/>
                <w:color w:val="000000"/>
                <w:sz w:val="22"/>
                <w:szCs w:val="27"/>
              </w:rPr>
            </w:pPr>
            <w:r>
              <w:rPr>
                <w:rFonts w:ascii="Arial" w:hAnsi="Arial" w:cs="Arial"/>
                <w:color w:val="000000"/>
                <w:sz w:val="22"/>
                <w:szCs w:val="27"/>
              </w:rPr>
              <w:t>To undertake continuous personal and professional development, and to support it for any staff you manage through effective use of the University’s Planning, Review and Appraisal scheme and staff development opportunities.</w:t>
            </w:r>
          </w:p>
          <w:p w14:paraId="6A791E2D" w14:textId="77777777" w:rsidR="00CB5951" w:rsidRDefault="00CB5951" w:rsidP="00580D52">
            <w:pPr>
              <w:pStyle w:val="NormalWeb"/>
              <w:numPr>
                <w:ilvl w:val="0"/>
                <w:numId w:val="1"/>
              </w:numPr>
              <w:spacing w:before="0" w:beforeAutospacing="0" w:after="0" w:afterAutospacing="0"/>
              <w:rPr>
                <w:rFonts w:ascii="Arial" w:hAnsi="Arial" w:cs="Arial"/>
                <w:color w:val="000000"/>
                <w:sz w:val="22"/>
                <w:szCs w:val="27"/>
              </w:rPr>
            </w:pPr>
            <w:r>
              <w:rPr>
                <w:rFonts w:ascii="Arial" w:hAnsi="Arial" w:cs="Arial"/>
                <w:color w:val="000000"/>
                <w:sz w:val="22"/>
                <w:szCs w:val="27"/>
              </w:rPr>
              <w:t>To make full use of all information and communication technologies in adherence to data protection policies to meet the requirements of the role and to promote organisational effectiveness.</w:t>
            </w:r>
          </w:p>
          <w:p w14:paraId="576341DD" w14:textId="438788E7" w:rsidR="00CB5951" w:rsidRDefault="00CB5951" w:rsidP="00580D52">
            <w:pPr>
              <w:pStyle w:val="TableParagraph"/>
              <w:numPr>
                <w:ilvl w:val="0"/>
                <w:numId w:val="1"/>
              </w:numPr>
              <w:tabs>
                <w:tab w:val="left" w:pos="467"/>
                <w:tab w:val="left" w:pos="468"/>
              </w:tabs>
              <w:spacing w:before="8" w:line="355" w:lineRule="auto"/>
              <w:ind w:right="363"/>
              <w:rPr>
                <w:sz w:val="24"/>
              </w:rPr>
            </w:pPr>
            <w:r>
              <w:rPr>
                <w:color w:val="000000"/>
                <w:szCs w:val="27"/>
              </w:rPr>
              <w:t>To conduct all financial matters associated with the role accordance to the University’s policies and procedures, as laid down in the Financial Regulations.</w:t>
            </w:r>
          </w:p>
        </w:tc>
      </w:tr>
      <w:tr w:rsidR="00F376F6" w14:paraId="56F53758" w14:textId="77777777" w:rsidTr="00CB5951">
        <w:trPr>
          <w:gridBefore w:val="1"/>
          <w:wBefore w:w="18" w:type="dxa"/>
          <w:trHeight w:val="1242"/>
        </w:trPr>
        <w:tc>
          <w:tcPr>
            <w:tcW w:w="8790" w:type="dxa"/>
            <w:tcBorders>
              <w:top w:val="single" w:sz="4" w:space="0" w:color="auto"/>
              <w:left w:val="single" w:sz="8" w:space="0" w:color="000000"/>
              <w:bottom w:val="single" w:sz="8" w:space="0" w:color="000000"/>
              <w:right w:val="single" w:sz="8" w:space="0" w:color="000000"/>
            </w:tcBorders>
          </w:tcPr>
          <w:p w14:paraId="561B832C" w14:textId="77777777" w:rsidR="005F4F49" w:rsidRDefault="002B7C08">
            <w:pPr>
              <w:pStyle w:val="TableParagraph"/>
              <w:spacing w:line="360" w:lineRule="auto"/>
              <w:ind w:right="186"/>
            </w:pPr>
            <w:r w:rsidRPr="00F4423D">
              <w:rPr>
                <w:b/>
              </w:rPr>
              <w:t xml:space="preserve">Key Working Relationships </w:t>
            </w:r>
          </w:p>
          <w:p w14:paraId="57EA60BF" w14:textId="77777777" w:rsidR="00F376F6" w:rsidRDefault="005F4F49" w:rsidP="002C13EA">
            <w:pPr>
              <w:pStyle w:val="TableParagraph"/>
              <w:numPr>
                <w:ilvl w:val="0"/>
                <w:numId w:val="8"/>
              </w:numPr>
              <w:ind w:left="465" w:right="186" w:hanging="357"/>
            </w:pPr>
            <w:r>
              <w:t xml:space="preserve">Head of Development Operations and Senior Prospect Researcher </w:t>
            </w:r>
          </w:p>
          <w:p w14:paraId="3EC239E5" w14:textId="37BECC1A" w:rsidR="00031956" w:rsidRPr="000B0AE3" w:rsidRDefault="00031956" w:rsidP="002C13EA">
            <w:pPr>
              <w:pStyle w:val="ListParagraph"/>
              <w:widowControl/>
              <w:numPr>
                <w:ilvl w:val="0"/>
                <w:numId w:val="8"/>
              </w:numPr>
              <w:autoSpaceDE/>
              <w:autoSpaceDN/>
              <w:ind w:left="465" w:hanging="357"/>
              <w:rPr>
                <w:rFonts w:eastAsia="Times New Roman"/>
                <w:lang w:bidi="ar-SA"/>
              </w:rPr>
            </w:pPr>
            <w:r>
              <w:t>Development Department (Director of Development, Partnerships, Major Gifts, Trusts &amp; Foundations, Campaign, Development Events, Alumni Relations)</w:t>
            </w:r>
          </w:p>
          <w:p w14:paraId="40C3179E" w14:textId="77777777" w:rsidR="005F4F49" w:rsidRDefault="001F26CA" w:rsidP="002C13EA">
            <w:pPr>
              <w:pStyle w:val="ListParagraph"/>
              <w:numPr>
                <w:ilvl w:val="0"/>
                <w:numId w:val="8"/>
              </w:numPr>
              <w:ind w:left="465" w:hanging="357"/>
            </w:pPr>
            <w:r w:rsidRPr="001F26CA">
              <w:t xml:space="preserve">College personnel with responsibilities such as business and innovation, academic enterprise, events, international partnerships, alumni relations </w:t>
            </w:r>
            <w:r w:rsidR="000B0AE3">
              <w:t>and/or</w:t>
            </w:r>
            <w:r w:rsidRPr="001F26CA">
              <w:t xml:space="preserve"> where they have fundraising responsibilities, require due diligence checks and/or use Raiser’s Edge</w:t>
            </w:r>
            <w:r w:rsidR="000B0AE3">
              <w:t>.</w:t>
            </w:r>
          </w:p>
          <w:p w14:paraId="61EC0D15" w14:textId="4BE7C237" w:rsidR="000B0AE3" w:rsidRDefault="002C13EA" w:rsidP="000B0AE3">
            <w:pPr>
              <w:pStyle w:val="ListParagraph"/>
              <w:numPr>
                <w:ilvl w:val="0"/>
                <w:numId w:val="8"/>
              </w:numPr>
            </w:pPr>
            <w:r>
              <w:t xml:space="preserve">Other central functions, such as Finance, </w:t>
            </w:r>
            <w:r w:rsidR="00BB3BE5">
              <w:t xml:space="preserve">Registry, Digital, </w:t>
            </w:r>
            <w:r w:rsidR="002163C4">
              <w:t>and IT.</w:t>
            </w:r>
          </w:p>
          <w:p w14:paraId="3148F53F" w14:textId="1C1EBAAC" w:rsidR="002163C4" w:rsidRPr="00F4423D" w:rsidRDefault="002163C4" w:rsidP="002163C4">
            <w:pPr>
              <w:pStyle w:val="ListParagraph"/>
              <w:ind w:left="467"/>
            </w:pPr>
          </w:p>
        </w:tc>
      </w:tr>
      <w:tr w:rsidR="00F376F6" w14:paraId="24025675" w14:textId="77777777" w:rsidTr="00CB5951">
        <w:trPr>
          <w:gridBefore w:val="1"/>
          <w:wBefore w:w="18" w:type="dxa"/>
          <w:trHeight w:val="2133"/>
        </w:trPr>
        <w:tc>
          <w:tcPr>
            <w:tcW w:w="8790" w:type="dxa"/>
            <w:tcBorders>
              <w:top w:val="single" w:sz="8" w:space="0" w:color="000000"/>
              <w:left w:val="single" w:sz="8" w:space="0" w:color="000000"/>
              <w:bottom w:val="single" w:sz="8" w:space="0" w:color="000000"/>
              <w:right w:val="single" w:sz="8" w:space="0" w:color="000000"/>
            </w:tcBorders>
          </w:tcPr>
          <w:p w14:paraId="1859136C" w14:textId="77777777" w:rsidR="00F376F6" w:rsidRPr="00F4423D" w:rsidRDefault="002B7C08">
            <w:pPr>
              <w:pStyle w:val="TableParagraph"/>
              <w:spacing w:line="274" w:lineRule="exact"/>
              <w:rPr>
                <w:b/>
              </w:rPr>
            </w:pPr>
            <w:r w:rsidRPr="00F4423D">
              <w:rPr>
                <w:b/>
              </w:rPr>
              <w:t>Specific Management Responsibilities</w:t>
            </w:r>
          </w:p>
          <w:p w14:paraId="4D59CF14" w14:textId="02F8A33C" w:rsidR="00F376F6" w:rsidRPr="00F4423D" w:rsidRDefault="00F376F6">
            <w:pPr>
              <w:pStyle w:val="TableParagraph"/>
              <w:ind w:left="0"/>
              <w:rPr>
                <w:b/>
              </w:rPr>
            </w:pPr>
          </w:p>
          <w:p w14:paraId="47D491A6" w14:textId="16094A86" w:rsidR="00F376F6" w:rsidRPr="00F4423D" w:rsidRDefault="002B7C08" w:rsidP="002941BD">
            <w:pPr>
              <w:pStyle w:val="TableParagraph"/>
              <w:rPr>
                <w:bCs/>
              </w:rPr>
            </w:pPr>
            <w:r w:rsidRPr="00F4423D">
              <w:rPr>
                <w:bCs/>
              </w:rPr>
              <w:t>Budgets</w:t>
            </w:r>
            <w:r w:rsidR="002941BD" w:rsidRPr="00F4423D">
              <w:rPr>
                <w:bCs/>
              </w:rPr>
              <w:t xml:space="preserve">: </w:t>
            </w:r>
            <w:r w:rsidR="0075724E" w:rsidRPr="00F4423D">
              <w:rPr>
                <w:bCs/>
              </w:rPr>
              <w:t>none</w:t>
            </w:r>
          </w:p>
          <w:p w14:paraId="14C60E95" w14:textId="5692A35F" w:rsidR="00F376F6" w:rsidRPr="00F4423D" w:rsidRDefault="002B7C08" w:rsidP="002941BD">
            <w:pPr>
              <w:pStyle w:val="TableParagraph"/>
              <w:spacing w:before="142"/>
              <w:rPr>
                <w:bCs/>
              </w:rPr>
            </w:pPr>
            <w:r w:rsidRPr="00F4423D">
              <w:rPr>
                <w:bCs/>
              </w:rPr>
              <w:t>Staff</w:t>
            </w:r>
            <w:r w:rsidR="002941BD" w:rsidRPr="00F4423D">
              <w:rPr>
                <w:bCs/>
              </w:rPr>
              <w:t xml:space="preserve">: </w:t>
            </w:r>
            <w:r w:rsidR="0075724E" w:rsidRPr="00F4423D">
              <w:rPr>
                <w:bCs/>
              </w:rPr>
              <w:t>none</w:t>
            </w:r>
          </w:p>
          <w:p w14:paraId="25CF7D30" w14:textId="50B9AB6C" w:rsidR="00F376F6" w:rsidRPr="00F4423D" w:rsidRDefault="002B7C08" w:rsidP="002941BD">
            <w:pPr>
              <w:pStyle w:val="TableParagraph"/>
              <w:spacing w:before="142"/>
            </w:pPr>
            <w:r w:rsidRPr="00F4423D">
              <w:rPr>
                <w:bCs/>
              </w:rPr>
              <w:t>Other (</w:t>
            </w:r>
            <w:proofErr w:type="gramStart"/>
            <w:r w:rsidRPr="00F4423D">
              <w:rPr>
                <w:bCs/>
              </w:rPr>
              <w:t>e.g.</w:t>
            </w:r>
            <w:proofErr w:type="gramEnd"/>
            <w:r w:rsidRPr="00F4423D">
              <w:rPr>
                <w:bCs/>
              </w:rPr>
              <w:t xml:space="preserve"> accommodation; equipment)</w:t>
            </w:r>
            <w:r w:rsidR="002941BD" w:rsidRPr="00F4423D">
              <w:rPr>
                <w:bCs/>
              </w:rPr>
              <w:t>:</w:t>
            </w:r>
            <w:r w:rsidR="0075724E" w:rsidRPr="00F4423D">
              <w:rPr>
                <w:rFonts w:ascii="Symbol" w:hAnsi="Symbol"/>
                <w:bCs/>
              </w:rPr>
              <w:t xml:space="preserve"> </w:t>
            </w:r>
            <w:r w:rsidR="0075724E" w:rsidRPr="00F4423D">
              <w:rPr>
                <w:bCs/>
              </w:rPr>
              <w:t>none</w:t>
            </w:r>
          </w:p>
        </w:tc>
      </w:tr>
      <w:tr w:rsidR="00F376F6" w14:paraId="4E6D32BA" w14:textId="77777777" w:rsidTr="00CB5951">
        <w:trPr>
          <w:gridBefore w:val="1"/>
          <w:wBefore w:w="18" w:type="dxa"/>
          <w:trHeight w:val="2623"/>
        </w:trPr>
        <w:tc>
          <w:tcPr>
            <w:tcW w:w="8790" w:type="dxa"/>
            <w:tcBorders>
              <w:top w:val="single" w:sz="8" w:space="0" w:color="000000"/>
              <w:left w:val="single" w:sz="8" w:space="0" w:color="000000"/>
              <w:bottom w:val="single" w:sz="8" w:space="0" w:color="000000"/>
              <w:right w:val="single" w:sz="8" w:space="0" w:color="000000"/>
            </w:tcBorders>
          </w:tcPr>
          <w:p w14:paraId="08BB8CF1" w14:textId="77777777" w:rsidR="00F376F6" w:rsidRDefault="00F376F6">
            <w:pPr>
              <w:pStyle w:val="TableParagraph"/>
              <w:ind w:left="0"/>
              <w:rPr>
                <w:b/>
                <w:sz w:val="26"/>
              </w:rPr>
            </w:pPr>
          </w:p>
          <w:p w14:paraId="1E1AA323" w14:textId="77777777" w:rsidR="00F376F6" w:rsidRDefault="00F376F6">
            <w:pPr>
              <w:pStyle w:val="TableParagraph"/>
              <w:spacing w:before="9"/>
              <w:ind w:left="0"/>
              <w:rPr>
                <w:b/>
                <w:sz w:val="21"/>
              </w:rPr>
            </w:pPr>
          </w:p>
          <w:p w14:paraId="7EF14848" w14:textId="77777777" w:rsidR="00F376F6" w:rsidRDefault="002B7C08">
            <w:pPr>
              <w:pStyle w:val="TableParagraph"/>
              <w:tabs>
                <w:tab w:val="left" w:pos="6264"/>
              </w:tabs>
              <w:spacing w:before="1"/>
              <w:rPr>
                <w:sz w:val="24"/>
              </w:rPr>
            </w:pPr>
            <w:r>
              <w:rPr>
                <w:sz w:val="24"/>
              </w:rPr>
              <w:t>Signed</w:t>
            </w:r>
            <w:r>
              <w:rPr>
                <w:sz w:val="24"/>
                <w:u w:val="single"/>
              </w:rPr>
              <w:t xml:space="preserve"> </w:t>
            </w:r>
            <w:r>
              <w:rPr>
                <w:sz w:val="24"/>
                <w:u w:val="single"/>
              </w:rPr>
              <w:tab/>
            </w:r>
            <w:r>
              <w:rPr>
                <w:sz w:val="24"/>
              </w:rPr>
              <w:t>(Recruiting</w:t>
            </w:r>
            <w:r>
              <w:rPr>
                <w:spacing w:val="-4"/>
                <w:sz w:val="24"/>
              </w:rPr>
              <w:t xml:space="preserve"> </w:t>
            </w:r>
            <w:r>
              <w:rPr>
                <w:sz w:val="24"/>
              </w:rPr>
              <w:t>Manager)</w:t>
            </w:r>
          </w:p>
          <w:p w14:paraId="096EF8CE" w14:textId="77777777" w:rsidR="00F376F6" w:rsidRDefault="00F376F6">
            <w:pPr>
              <w:pStyle w:val="TableParagraph"/>
              <w:ind w:left="0"/>
              <w:rPr>
                <w:b/>
                <w:sz w:val="26"/>
              </w:rPr>
            </w:pPr>
          </w:p>
          <w:p w14:paraId="014BBA0D" w14:textId="77777777" w:rsidR="00F376F6" w:rsidRDefault="00F376F6">
            <w:pPr>
              <w:pStyle w:val="TableParagraph"/>
              <w:ind w:left="0"/>
              <w:rPr>
                <w:b/>
                <w:sz w:val="26"/>
              </w:rPr>
            </w:pPr>
          </w:p>
          <w:p w14:paraId="512D3593" w14:textId="77777777" w:rsidR="00F376F6" w:rsidRDefault="002B7C08">
            <w:pPr>
              <w:pStyle w:val="TableParagraph"/>
              <w:tabs>
                <w:tab w:val="left" w:pos="6418"/>
              </w:tabs>
              <w:spacing w:before="230"/>
              <w:rPr>
                <w:sz w:val="24"/>
              </w:rPr>
            </w:pPr>
            <w:r>
              <w:rPr>
                <w:sz w:val="24"/>
              </w:rPr>
              <w:t>Date of</w:t>
            </w:r>
            <w:r>
              <w:rPr>
                <w:spacing w:val="-3"/>
                <w:sz w:val="24"/>
              </w:rPr>
              <w:t xml:space="preserve"> </w:t>
            </w:r>
            <w:r>
              <w:rPr>
                <w:sz w:val="24"/>
              </w:rPr>
              <w:t>last</w:t>
            </w:r>
            <w:r>
              <w:rPr>
                <w:spacing w:val="-1"/>
                <w:sz w:val="24"/>
              </w:rPr>
              <w:t xml:space="preserve"> </w:t>
            </w:r>
            <w:r>
              <w:rPr>
                <w:sz w:val="24"/>
              </w:rPr>
              <w:t>review</w:t>
            </w:r>
            <w:r>
              <w:rPr>
                <w:sz w:val="24"/>
                <w:u w:val="single"/>
              </w:rPr>
              <w:t xml:space="preserve"> </w:t>
            </w:r>
            <w:r>
              <w:rPr>
                <w:sz w:val="24"/>
                <w:u w:val="single"/>
              </w:rPr>
              <w:tab/>
              <w:t>[</w:t>
            </w:r>
            <w:r>
              <w:rPr>
                <w:sz w:val="24"/>
              </w:rPr>
              <w:t>Type in</w:t>
            </w:r>
            <w:r>
              <w:rPr>
                <w:spacing w:val="-3"/>
                <w:sz w:val="24"/>
              </w:rPr>
              <w:t xml:space="preserve"> </w:t>
            </w:r>
            <w:r>
              <w:rPr>
                <w:sz w:val="24"/>
              </w:rPr>
              <w:t>Details]</w:t>
            </w:r>
          </w:p>
        </w:tc>
      </w:tr>
    </w:tbl>
    <w:p w14:paraId="4E3FE535" w14:textId="77777777" w:rsidR="00213C7C" w:rsidRDefault="00213C7C"/>
    <w:p w14:paraId="614601BA" w14:textId="77777777" w:rsidR="00AC1B18" w:rsidRDefault="00AC1B18"/>
    <w:p w14:paraId="555EA5CB" w14:textId="77777777" w:rsidR="00AC1B18" w:rsidRDefault="00AC1B18"/>
    <w:p w14:paraId="311DA7E7" w14:textId="41B6BF26" w:rsidR="00397FA4" w:rsidRDefault="00397FA4" w:rsidP="00397FA4">
      <w:pPr>
        <w:rPr>
          <w:b/>
          <w:sz w:val="28"/>
          <w:szCs w:val="28"/>
        </w:rPr>
      </w:pPr>
      <w:r>
        <w:rPr>
          <w:b/>
          <w:sz w:val="28"/>
          <w:szCs w:val="28"/>
        </w:rPr>
        <w:t>Job Title:   Development Operations Officer</w:t>
      </w:r>
      <w:r>
        <w:rPr>
          <w:b/>
          <w:sz w:val="28"/>
          <w:szCs w:val="28"/>
        </w:rPr>
        <w:tab/>
        <w:t xml:space="preserve"> Grade:      4</w:t>
      </w:r>
    </w:p>
    <w:p w14:paraId="59BF0A7B" w14:textId="77777777" w:rsidR="00397FA4" w:rsidRDefault="00397FA4" w:rsidP="00397FA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5315"/>
      </w:tblGrid>
      <w:tr w:rsidR="00397FA4" w14:paraId="11300C9F" w14:textId="77777777" w:rsidTr="004750FD">
        <w:trPr>
          <w:trHeight w:val="410"/>
        </w:trPr>
        <w:tc>
          <w:tcPr>
            <w:tcW w:w="9060" w:type="dxa"/>
            <w:gridSpan w:val="2"/>
            <w:shd w:val="clear" w:color="auto" w:fill="000000"/>
          </w:tcPr>
          <w:p w14:paraId="1101E80E" w14:textId="77777777" w:rsidR="00397FA4" w:rsidRPr="00D271F8" w:rsidRDefault="00397FA4" w:rsidP="0013183F">
            <w:pPr>
              <w:rPr>
                <w:rFonts w:eastAsia="Calibri"/>
                <w:color w:val="262626"/>
                <w:sz w:val="28"/>
                <w:szCs w:val="28"/>
              </w:rPr>
            </w:pPr>
            <w:r w:rsidRPr="00D271F8">
              <w:rPr>
                <w:rFonts w:eastAsia="Calibri"/>
                <w:sz w:val="28"/>
                <w:szCs w:val="28"/>
              </w:rPr>
              <w:t xml:space="preserve">Person Specification </w:t>
            </w:r>
          </w:p>
        </w:tc>
      </w:tr>
      <w:tr w:rsidR="00397FA4" w:rsidRPr="00153E19" w14:paraId="16A04F54" w14:textId="77777777" w:rsidTr="004750FD">
        <w:tc>
          <w:tcPr>
            <w:tcW w:w="3745" w:type="dxa"/>
            <w:shd w:val="clear" w:color="auto" w:fill="auto"/>
          </w:tcPr>
          <w:p w14:paraId="7B60F7B1" w14:textId="77777777" w:rsidR="00397FA4" w:rsidRPr="00153E19" w:rsidRDefault="00397FA4" w:rsidP="0013183F">
            <w:pPr>
              <w:rPr>
                <w:rFonts w:eastAsia="Calibri"/>
              </w:rPr>
            </w:pPr>
          </w:p>
          <w:p w14:paraId="520B2986" w14:textId="77777777" w:rsidR="00397FA4" w:rsidRPr="00153E19" w:rsidRDefault="00397FA4" w:rsidP="0013183F">
            <w:pPr>
              <w:rPr>
                <w:rFonts w:eastAsia="Calibri"/>
              </w:rPr>
            </w:pPr>
            <w:r w:rsidRPr="00153E19">
              <w:rPr>
                <w:rFonts w:eastAsia="Calibri"/>
              </w:rPr>
              <w:t>Specialist Knowledge/ Qualifications</w:t>
            </w:r>
          </w:p>
          <w:p w14:paraId="1144ECFF" w14:textId="77777777" w:rsidR="00397FA4" w:rsidRPr="00153E19" w:rsidRDefault="00397FA4" w:rsidP="0013183F">
            <w:pPr>
              <w:rPr>
                <w:rFonts w:eastAsia="Calibri"/>
              </w:rPr>
            </w:pPr>
          </w:p>
        </w:tc>
        <w:tc>
          <w:tcPr>
            <w:tcW w:w="5315" w:type="dxa"/>
            <w:shd w:val="clear" w:color="auto" w:fill="auto"/>
          </w:tcPr>
          <w:p w14:paraId="1C44BB05" w14:textId="77777777" w:rsidR="00397FA4" w:rsidRPr="00153E19" w:rsidRDefault="00397FA4" w:rsidP="0013183F">
            <w:pPr>
              <w:rPr>
                <w:rFonts w:eastAsia="Calibri"/>
              </w:rPr>
            </w:pPr>
          </w:p>
          <w:p w14:paraId="49F51C51" w14:textId="796ED537" w:rsidR="00FC0370" w:rsidRPr="00153E19" w:rsidRDefault="00397FA4" w:rsidP="0087297B">
            <w:pPr>
              <w:pStyle w:val="ListParagraph"/>
              <w:widowControl/>
              <w:numPr>
                <w:ilvl w:val="0"/>
                <w:numId w:val="11"/>
              </w:numPr>
              <w:autoSpaceDE/>
              <w:autoSpaceDN/>
              <w:contextualSpacing/>
            </w:pPr>
            <w:r w:rsidRPr="00153E19">
              <w:t xml:space="preserve">University degree, equivalent </w:t>
            </w:r>
            <w:r w:rsidR="00F01EDB" w:rsidRPr="00153E19">
              <w:t>qualification,</w:t>
            </w:r>
            <w:r w:rsidRPr="00153E19">
              <w:t xml:space="preserve"> or suitable professional experience</w:t>
            </w:r>
          </w:p>
          <w:p w14:paraId="65BECA23" w14:textId="77777777" w:rsidR="00397FA4" w:rsidRPr="00153E19" w:rsidRDefault="00397FA4" w:rsidP="00397FA4">
            <w:pPr>
              <w:pStyle w:val="ListParagraph"/>
              <w:widowControl/>
              <w:numPr>
                <w:ilvl w:val="0"/>
                <w:numId w:val="11"/>
              </w:numPr>
              <w:autoSpaceDE/>
              <w:autoSpaceDN/>
              <w:contextualSpacing/>
              <w:rPr>
                <w:i/>
              </w:rPr>
            </w:pPr>
            <w:r w:rsidRPr="00153E19">
              <w:t>Knowledge of fundraising in the education, arts, cultural or wider charitable sectors</w:t>
            </w:r>
          </w:p>
          <w:p w14:paraId="635D8ABD" w14:textId="77777777" w:rsidR="00397FA4" w:rsidRPr="00153E19" w:rsidRDefault="00397FA4" w:rsidP="009A5ADE">
            <w:pPr>
              <w:pStyle w:val="ListParagraph"/>
              <w:widowControl/>
              <w:autoSpaceDE/>
              <w:autoSpaceDN/>
              <w:ind w:left="720"/>
              <w:contextualSpacing/>
              <w:rPr>
                <w:rFonts w:eastAsia="Calibri"/>
              </w:rPr>
            </w:pPr>
          </w:p>
        </w:tc>
      </w:tr>
      <w:tr w:rsidR="00397FA4" w:rsidRPr="00153E19" w14:paraId="42A32AC6" w14:textId="77777777" w:rsidTr="004750FD">
        <w:tc>
          <w:tcPr>
            <w:tcW w:w="3745" w:type="dxa"/>
            <w:shd w:val="clear" w:color="auto" w:fill="auto"/>
          </w:tcPr>
          <w:p w14:paraId="1F0FF4C0" w14:textId="77777777" w:rsidR="00397FA4" w:rsidRPr="00153E19" w:rsidRDefault="00397FA4" w:rsidP="0013183F">
            <w:pPr>
              <w:rPr>
                <w:rFonts w:eastAsia="Calibri"/>
              </w:rPr>
            </w:pPr>
          </w:p>
          <w:p w14:paraId="422D3C2C" w14:textId="77777777" w:rsidR="00397FA4" w:rsidRPr="00153E19" w:rsidRDefault="00397FA4" w:rsidP="0013183F">
            <w:pPr>
              <w:rPr>
                <w:rFonts w:eastAsia="Calibri"/>
              </w:rPr>
            </w:pPr>
            <w:r w:rsidRPr="00153E19">
              <w:rPr>
                <w:rFonts w:eastAsia="Calibri"/>
              </w:rPr>
              <w:t xml:space="preserve">Relevant Experience </w:t>
            </w:r>
          </w:p>
        </w:tc>
        <w:tc>
          <w:tcPr>
            <w:tcW w:w="5315" w:type="dxa"/>
            <w:shd w:val="clear" w:color="auto" w:fill="auto"/>
          </w:tcPr>
          <w:p w14:paraId="5C6A3654" w14:textId="77777777" w:rsidR="00397FA4" w:rsidRPr="00153E19" w:rsidRDefault="00397FA4" w:rsidP="0013183F">
            <w:pPr>
              <w:rPr>
                <w:rFonts w:eastAsia="Calibri"/>
                <w:i/>
              </w:rPr>
            </w:pPr>
          </w:p>
          <w:p w14:paraId="05EAA184" w14:textId="77777777" w:rsidR="00A74A75" w:rsidRPr="00A74A75" w:rsidRDefault="00397FA4" w:rsidP="00397FA4">
            <w:pPr>
              <w:pStyle w:val="ListParagraph"/>
              <w:widowControl/>
              <w:numPr>
                <w:ilvl w:val="0"/>
                <w:numId w:val="11"/>
              </w:numPr>
              <w:autoSpaceDE/>
              <w:autoSpaceDN/>
              <w:contextualSpacing/>
              <w:rPr>
                <w:i/>
              </w:rPr>
            </w:pPr>
            <w:r w:rsidRPr="00153E19">
              <w:t xml:space="preserve">Experience of </w:t>
            </w:r>
            <w:r w:rsidR="006C4CBD">
              <w:t>conducting desktop research</w:t>
            </w:r>
          </w:p>
          <w:p w14:paraId="71B32641" w14:textId="06EE60C7" w:rsidR="00397FA4" w:rsidRPr="00153E19" w:rsidRDefault="00A74A75" w:rsidP="00397FA4">
            <w:pPr>
              <w:pStyle w:val="ListParagraph"/>
              <w:widowControl/>
              <w:numPr>
                <w:ilvl w:val="0"/>
                <w:numId w:val="11"/>
              </w:numPr>
              <w:autoSpaceDE/>
              <w:autoSpaceDN/>
              <w:contextualSpacing/>
              <w:rPr>
                <w:i/>
              </w:rPr>
            </w:pPr>
            <w:r>
              <w:t>T</w:t>
            </w:r>
            <w:r w:rsidR="00397FA4" w:rsidRPr="00153E19">
              <w:t>rack record of working successfully with fundraisers in the education, arts, cultural or wider charitable sectors</w:t>
            </w:r>
            <w:r>
              <w:t xml:space="preserve"> (desirable)</w:t>
            </w:r>
          </w:p>
          <w:p w14:paraId="00CF817B" w14:textId="0E7E8C17" w:rsidR="00397FA4" w:rsidRPr="00153E19" w:rsidRDefault="00397FA4" w:rsidP="00397FA4">
            <w:pPr>
              <w:pStyle w:val="ListParagraph"/>
              <w:widowControl/>
              <w:numPr>
                <w:ilvl w:val="0"/>
                <w:numId w:val="12"/>
              </w:numPr>
              <w:autoSpaceDE/>
              <w:autoSpaceDN/>
              <w:contextualSpacing/>
            </w:pPr>
            <w:r w:rsidRPr="00153E19">
              <w:t xml:space="preserve">Experience of working with colleagues to </w:t>
            </w:r>
            <w:r w:rsidR="0084657F">
              <w:t>produce written reports</w:t>
            </w:r>
            <w:r w:rsidR="003A01A6">
              <w:t xml:space="preserve"> for varied audiences</w:t>
            </w:r>
          </w:p>
          <w:p w14:paraId="26FF6BEF" w14:textId="15343446" w:rsidR="00397FA4" w:rsidRPr="00153E19" w:rsidRDefault="00397FA4" w:rsidP="00397FA4">
            <w:pPr>
              <w:pStyle w:val="ListParagraph"/>
              <w:widowControl/>
              <w:numPr>
                <w:ilvl w:val="0"/>
                <w:numId w:val="12"/>
              </w:numPr>
              <w:autoSpaceDE/>
              <w:autoSpaceDN/>
              <w:contextualSpacing/>
            </w:pPr>
            <w:r w:rsidRPr="00153E19">
              <w:t>Experience of undertaking due diligence checks</w:t>
            </w:r>
            <w:r w:rsidR="0084657F">
              <w:t xml:space="preserve"> (desirable) </w:t>
            </w:r>
          </w:p>
          <w:p w14:paraId="0E45040D" w14:textId="77777777" w:rsidR="003A01A6" w:rsidRDefault="00397FA4" w:rsidP="00397FA4">
            <w:pPr>
              <w:pStyle w:val="ListParagraph"/>
              <w:widowControl/>
              <w:numPr>
                <w:ilvl w:val="0"/>
                <w:numId w:val="12"/>
              </w:numPr>
              <w:autoSpaceDE/>
              <w:autoSpaceDN/>
              <w:contextualSpacing/>
            </w:pPr>
            <w:r w:rsidRPr="00153E19">
              <w:t>Experienc</w:t>
            </w:r>
            <w:r w:rsidR="003A01A6">
              <w:t>e in using relational databases or CRMs</w:t>
            </w:r>
          </w:p>
          <w:p w14:paraId="37F7FEC2" w14:textId="78B79315" w:rsidR="00397FA4" w:rsidRDefault="003A01A6" w:rsidP="00397FA4">
            <w:pPr>
              <w:pStyle w:val="ListParagraph"/>
              <w:widowControl/>
              <w:numPr>
                <w:ilvl w:val="0"/>
                <w:numId w:val="12"/>
              </w:numPr>
              <w:autoSpaceDE/>
              <w:autoSpaceDN/>
              <w:contextualSpacing/>
            </w:pPr>
            <w:r>
              <w:t>Knowledge</w:t>
            </w:r>
            <w:r w:rsidR="00397FA4" w:rsidRPr="00153E19">
              <w:t xml:space="preserve"> of Raiser’s Edge </w:t>
            </w:r>
            <w:r>
              <w:t>(desirable)</w:t>
            </w:r>
          </w:p>
          <w:p w14:paraId="4FF023E1" w14:textId="59BF3CFD" w:rsidR="003D764A" w:rsidRPr="00153E19" w:rsidRDefault="004F7784" w:rsidP="00397FA4">
            <w:pPr>
              <w:pStyle w:val="ListParagraph"/>
              <w:widowControl/>
              <w:numPr>
                <w:ilvl w:val="0"/>
                <w:numId w:val="12"/>
              </w:numPr>
              <w:autoSpaceDE/>
              <w:autoSpaceDN/>
              <w:contextualSpacing/>
            </w:pPr>
            <w:r>
              <w:t>Experienced user</w:t>
            </w:r>
            <w:r w:rsidR="003D764A">
              <w:t xml:space="preserve"> </w:t>
            </w:r>
            <w:r>
              <w:t xml:space="preserve">of </w:t>
            </w:r>
            <w:r w:rsidR="003D764A">
              <w:t>Microsoft Excel</w:t>
            </w:r>
            <w:r>
              <w:t>, with good</w:t>
            </w:r>
            <w:r w:rsidR="003D764A">
              <w:t xml:space="preserve"> skills</w:t>
            </w:r>
            <w:r>
              <w:t xml:space="preserve"> in </w:t>
            </w:r>
            <w:r w:rsidR="009D7021">
              <w:t xml:space="preserve">data </w:t>
            </w:r>
            <w:r w:rsidR="009C3B71">
              <w:t xml:space="preserve">formatting and </w:t>
            </w:r>
            <w:r w:rsidR="009D7021">
              <w:t xml:space="preserve">manipulation </w:t>
            </w:r>
          </w:p>
          <w:p w14:paraId="3FF525FD" w14:textId="5F52B60F" w:rsidR="00397FA4" w:rsidRPr="00153E19" w:rsidRDefault="00397FA4" w:rsidP="00397FA4">
            <w:pPr>
              <w:pStyle w:val="ListParagraph"/>
              <w:widowControl/>
              <w:numPr>
                <w:ilvl w:val="0"/>
                <w:numId w:val="12"/>
              </w:numPr>
              <w:autoSpaceDE/>
              <w:autoSpaceDN/>
              <w:contextualSpacing/>
            </w:pPr>
            <w:r w:rsidRPr="00153E19">
              <w:t xml:space="preserve">Experienced user of web-based sources of information relevant to research </w:t>
            </w:r>
          </w:p>
          <w:p w14:paraId="3ABF4469" w14:textId="3F1694F0" w:rsidR="00397FA4" w:rsidRPr="00153E19" w:rsidRDefault="00397FA4" w:rsidP="00397FA4">
            <w:pPr>
              <w:pStyle w:val="ListParagraph"/>
              <w:widowControl/>
              <w:numPr>
                <w:ilvl w:val="0"/>
                <w:numId w:val="12"/>
              </w:numPr>
              <w:autoSpaceDE/>
              <w:autoSpaceDN/>
              <w:contextualSpacing/>
            </w:pPr>
            <w:r w:rsidRPr="00153E19">
              <w:t>A demonstrable understanding of the creative arts and creative industries</w:t>
            </w:r>
            <w:r w:rsidR="00AB52E2">
              <w:t xml:space="preserve"> (desirable)</w:t>
            </w:r>
          </w:p>
          <w:p w14:paraId="56B04064" w14:textId="77777777" w:rsidR="00397FA4" w:rsidRPr="00153E19" w:rsidRDefault="00397FA4" w:rsidP="0013183F">
            <w:pPr>
              <w:pStyle w:val="ListParagraph"/>
            </w:pPr>
          </w:p>
        </w:tc>
      </w:tr>
      <w:tr w:rsidR="00397FA4" w:rsidRPr="00153E19" w14:paraId="2F648CEC" w14:textId="77777777" w:rsidTr="004750FD">
        <w:tc>
          <w:tcPr>
            <w:tcW w:w="3745" w:type="dxa"/>
            <w:shd w:val="clear" w:color="auto" w:fill="auto"/>
            <w:vAlign w:val="center"/>
          </w:tcPr>
          <w:p w14:paraId="08ACBDBB" w14:textId="77777777" w:rsidR="00397FA4" w:rsidRPr="00153E19" w:rsidRDefault="00397FA4" w:rsidP="0013183F">
            <w:pPr>
              <w:rPr>
                <w:rFonts w:eastAsia="Calibri"/>
              </w:rPr>
            </w:pPr>
            <w:r w:rsidRPr="00153E19">
              <w:rPr>
                <w:rFonts w:eastAsia="Calibri"/>
              </w:rPr>
              <w:t>Communication Skills</w:t>
            </w:r>
          </w:p>
        </w:tc>
        <w:tc>
          <w:tcPr>
            <w:tcW w:w="5315" w:type="dxa"/>
            <w:shd w:val="clear" w:color="auto" w:fill="auto"/>
            <w:vAlign w:val="center"/>
          </w:tcPr>
          <w:p w14:paraId="65F77391" w14:textId="77777777" w:rsidR="00397FA4" w:rsidRPr="00153E19" w:rsidRDefault="00397FA4" w:rsidP="0013183F">
            <w:pPr>
              <w:rPr>
                <w:rFonts w:eastAsia="Calibri"/>
                <w:color w:val="000000"/>
              </w:rPr>
            </w:pPr>
          </w:p>
          <w:p w14:paraId="61196A33" w14:textId="20FF362B" w:rsidR="00397FA4" w:rsidRPr="00153E19" w:rsidRDefault="00397FA4" w:rsidP="00397FA4">
            <w:pPr>
              <w:pStyle w:val="ListParagraph"/>
              <w:widowControl/>
              <w:numPr>
                <w:ilvl w:val="0"/>
                <w:numId w:val="12"/>
              </w:numPr>
              <w:autoSpaceDE/>
              <w:autoSpaceDN/>
              <w:contextualSpacing/>
            </w:pPr>
            <w:r w:rsidRPr="00153E19">
              <w:t xml:space="preserve">Excellent written and verbal communication skills – in particular, an ability to source, collate and prioritise a wide range of information to produce concise </w:t>
            </w:r>
            <w:r w:rsidR="00442E2E">
              <w:t xml:space="preserve">and informative </w:t>
            </w:r>
            <w:r w:rsidR="00135022">
              <w:t>reports</w:t>
            </w:r>
          </w:p>
          <w:p w14:paraId="270C0F47" w14:textId="77777777" w:rsidR="00397FA4" w:rsidRPr="00191EFC" w:rsidRDefault="00397FA4" w:rsidP="00397FA4">
            <w:pPr>
              <w:pStyle w:val="ListParagraph"/>
              <w:widowControl/>
              <w:numPr>
                <w:ilvl w:val="0"/>
                <w:numId w:val="12"/>
              </w:numPr>
              <w:autoSpaceDE/>
              <w:autoSpaceDN/>
              <w:contextualSpacing/>
            </w:pPr>
            <w:r w:rsidRPr="00153E19">
              <w:rPr>
                <w:color w:val="000000"/>
              </w:rPr>
              <w:t>Ability to build strong relationships with a wide range of people, including at the most senior level</w:t>
            </w:r>
          </w:p>
          <w:p w14:paraId="0CF0C3B9" w14:textId="00768BD8" w:rsidR="00191EFC" w:rsidRPr="00153E19" w:rsidRDefault="00191EFC" w:rsidP="00397FA4">
            <w:pPr>
              <w:pStyle w:val="ListParagraph"/>
              <w:widowControl/>
              <w:numPr>
                <w:ilvl w:val="0"/>
                <w:numId w:val="12"/>
              </w:numPr>
              <w:autoSpaceDE/>
              <w:autoSpaceDN/>
              <w:contextualSpacing/>
            </w:pPr>
            <w:r>
              <w:t>Excellent attention to detail</w:t>
            </w:r>
          </w:p>
          <w:p w14:paraId="14B2EE16" w14:textId="77777777" w:rsidR="00397FA4" w:rsidRPr="00153E19" w:rsidRDefault="00397FA4" w:rsidP="0013183F">
            <w:pPr>
              <w:rPr>
                <w:rFonts w:eastAsia="Calibri"/>
              </w:rPr>
            </w:pPr>
          </w:p>
        </w:tc>
      </w:tr>
      <w:tr w:rsidR="00397FA4" w:rsidRPr="00153E19" w14:paraId="11E7421A" w14:textId="77777777" w:rsidTr="004750FD">
        <w:tc>
          <w:tcPr>
            <w:tcW w:w="3745" w:type="dxa"/>
            <w:shd w:val="clear" w:color="auto" w:fill="auto"/>
            <w:vAlign w:val="center"/>
          </w:tcPr>
          <w:p w14:paraId="0FCAF151" w14:textId="77777777" w:rsidR="00397FA4" w:rsidRPr="00153E19" w:rsidRDefault="00397FA4" w:rsidP="0013183F">
            <w:pPr>
              <w:rPr>
                <w:rFonts w:eastAsia="Calibri"/>
              </w:rPr>
            </w:pPr>
            <w:r w:rsidRPr="00153E19">
              <w:rPr>
                <w:rFonts w:eastAsia="Calibri"/>
              </w:rPr>
              <w:t xml:space="preserve">Professional Practice </w:t>
            </w:r>
          </w:p>
        </w:tc>
        <w:tc>
          <w:tcPr>
            <w:tcW w:w="5315" w:type="dxa"/>
            <w:shd w:val="clear" w:color="auto" w:fill="auto"/>
            <w:vAlign w:val="center"/>
          </w:tcPr>
          <w:p w14:paraId="77985C2E" w14:textId="77777777" w:rsidR="00397FA4" w:rsidRPr="00153E19" w:rsidRDefault="00397FA4" w:rsidP="0013183F">
            <w:pPr>
              <w:rPr>
                <w:rFonts w:eastAsia="Calibri"/>
                <w:color w:val="000000"/>
              </w:rPr>
            </w:pPr>
          </w:p>
          <w:p w14:paraId="2B1553E9" w14:textId="799D1E45" w:rsidR="00397FA4" w:rsidRPr="00191EFC" w:rsidRDefault="00397FA4" w:rsidP="00191EFC">
            <w:pPr>
              <w:pStyle w:val="ListParagraph"/>
              <w:numPr>
                <w:ilvl w:val="0"/>
                <w:numId w:val="12"/>
              </w:numPr>
              <w:rPr>
                <w:rFonts w:eastAsia="Calibri"/>
                <w:color w:val="000000"/>
              </w:rPr>
            </w:pPr>
            <w:r w:rsidRPr="00191EFC">
              <w:rPr>
                <w:rFonts w:eastAsia="Calibri"/>
                <w:color w:val="000000"/>
              </w:rPr>
              <w:t xml:space="preserve">Meets all professional standards for research and </w:t>
            </w:r>
            <w:r w:rsidR="00442E2E">
              <w:rPr>
                <w:rFonts w:eastAsia="Calibri"/>
                <w:color w:val="000000"/>
              </w:rPr>
              <w:t>information management</w:t>
            </w:r>
            <w:r w:rsidRPr="00191EFC">
              <w:rPr>
                <w:rFonts w:eastAsia="Calibri"/>
                <w:color w:val="000000"/>
              </w:rPr>
              <w:t xml:space="preserve"> (such as data protection</w:t>
            </w:r>
            <w:r w:rsidR="005012D1" w:rsidRPr="00191EFC">
              <w:rPr>
                <w:rFonts w:eastAsia="Calibri"/>
                <w:color w:val="000000"/>
              </w:rPr>
              <w:t xml:space="preserve"> regulation</w:t>
            </w:r>
            <w:r w:rsidR="00A965BF">
              <w:rPr>
                <w:rFonts w:eastAsia="Calibri"/>
                <w:color w:val="000000"/>
              </w:rPr>
              <w:t>)</w:t>
            </w:r>
          </w:p>
          <w:p w14:paraId="6C40ED94" w14:textId="77777777" w:rsidR="00397FA4" w:rsidRPr="00153E19" w:rsidRDefault="00397FA4" w:rsidP="0013183F">
            <w:pPr>
              <w:rPr>
                <w:rFonts w:eastAsia="Calibri"/>
                <w:color w:val="000000"/>
              </w:rPr>
            </w:pPr>
          </w:p>
        </w:tc>
      </w:tr>
      <w:tr w:rsidR="00397FA4" w:rsidRPr="00153E19" w14:paraId="05012E13" w14:textId="77777777" w:rsidTr="004750FD">
        <w:tc>
          <w:tcPr>
            <w:tcW w:w="3745" w:type="dxa"/>
            <w:shd w:val="clear" w:color="auto" w:fill="auto"/>
            <w:vAlign w:val="center"/>
          </w:tcPr>
          <w:p w14:paraId="6FDF9252" w14:textId="77777777" w:rsidR="00397FA4" w:rsidRPr="00153E19" w:rsidRDefault="00397FA4" w:rsidP="0013183F">
            <w:pPr>
              <w:rPr>
                <w:rFonts w:eastAsia="Calibri"/>
              </w:rPr>
            </w:pPr>
            <w:r w:rsidRPr="00153E19">
              <w:rPr>
                <w:rFonts w:eastAsia="Calibri"/>
              </w:rPr>
              <w:t>Planning and Managing Resources</w:t>
            </w:r>
          </w:p>
        </w:tc>
        <w:tc>
          <w:tcPr>
            <w:tcW w:w="5315" w:type="dxa"/>
            <w:shd w:val="clear" w:color="auto" w:fill="auto"/>
            <w:vAlign w:val="center"/>
          </w:tcPr>
          <w:p w14:paraId="6EFD3A70" w14:textId="77777777" w:rsidR="00397FA4" w:rsidRPr="00153E19" w:rsidRDefault="00397FA4" w:rsidP="0013183F">
            <w:pPr>
              <w:rPr>
                <w:rFonts w:eastAsia="Calibri"/>
                <w:color w:val="000000"/>
              </w:rPr>
            </w:pPr>
          </w:p>
          <w:p w14:paraId="03B7D533" w14:textId="4751ADFD" w:rsidR="00397FA4" w:rsidRPr="00E27291" w:rsidRDefault="00397FA4" w:rsidP="00E27291">
            <w:pPr>
              <w:pStyle w:val="ListParagraph"/>
              <w:numPr>
                <w:ilvl w:val="0"/>
                <w:numId w:val="12"/>
              </w:numPr>
              <w:rPr>
                <w:rFonts w:eastAsia="Calibri"/>
                <w:color w:val="000000"/>
              </w:rPr>
            </w:pPr>
            <w:r w:rsidRPr="00E27291">
              <w:rPr>
                <w:rFonts w:eastAsia="Calibri"/>
                <w:color w:val="000000"/>
              </w:rPr>
              <w:t xml:space="preserve">Plans, prioritises and organises work to </w:t>
            </w:r>
            <w:r w:rsidR="00A965BF" w:rsidRPr="00E27291">
              <w:rPr>
                <w:rFonts w:eastAsia="Calibri"/>
                <w:color w:val="000000"/>
              </w:rPr>
              <w:t>achieve objectives</w:t>
            </w:r>
            <w:r w:rsidRPr="00E27291">
              <w:rPr>
                <w:rFonts w:eastAsia="Calibri"/>
                <w:color w:val="000000"/>
              </w:rPr>
              <w:t xml:space="preserve"> on time</w:t>
            </w:r>
          </w:p>
          <w:p w14:paraId="3E7AB867" w14:textId="77777777" w:rsidR="00397FA4" w:rsidRPr="00153E19" w:rsidRDefault="00397FA4" w:rsidP="0013183F">
            <w:pPr>
              <w:rPr>
                <w:rFonts w:eastAsia="Calibri"/>
              </w:rPr>
            </w:pPr>
          </w:p>
        </w:tc>
      </w:tr>
      <w:tr w:rsidR="00397FA4" w:rsidRPr="00153E19" w14:paraId="0CFEE81C" w14:textId="77777777" w:rsidTr="004750FD">
        <w:tc>
          <w:tcPr>
            <w:tcW w:w="3745" w:type="dxa"/>
            <w:shd w:val="clear" w:color="auto" w:fill="auto"/>
            <w:vAlign w:val="center"/>
          </w:tcPr>
          <w:p w14:paraId="19513C89" w14:textId="77777777" w:rsidR="00397FA4" w:rsidRPr="00153E19" w:rsidRDefault="00397FA4" w:rsidP="0013183F">
            <w:pPr>
              <w:rPr>
                <w:rFonts w:eastAsia="Calibri"/>
              </w:rPr>
            </w:pPr>
            <w:r w:rsidRPr="00153E19">
              <w:rPr>
                <w:rFonts w:eastAsia="Calibri"/>
              </w:rPr>
              <w:t>Teamwork</w:t>
            </w:r>
          </w:p>
        </w:tc>
        <w:tc>
          <w:tcPr>
            <w:tcW w:w="5315" w:type="dxa"/>
            <w:shd w:val="clear" w:color="auto" w:fill="auto"/>
            <w:vAlign w:val="center"/>
          </w:tcPr>
          <w:p w14:paraId="5C8C1EFF" w14:textId="77777777" w:rsidR="00397FA4" w:rsidRPr="00153E19" w:rsidRDefault="00397FA4" w:rsidP="0013183F">
            <w:pPr>
              <w:rPr>
                <w:rFonts w:eastAsia="Calibri"/>
                <w:color w:val="000000"/>
              </w:rPr>
            </w:pPr>
          </w:p>
          <w:p w14:paraId="068E0491" w14:textId="4A19089A" w:rsidR="00397FA4" w:rsidRPr="00E27291" w:rsidRDefault="00397FA4" w:rsidP="00E27291">
            <w:pPr>
              <w:pStyle w:val="ListParagraph"/>
              <w:numPr>
                <w:ilvl w:val="0"/>
                <w:numId w:val="12"/>
              </w:numPr>
              <w:rPr>
                <w:rFonts w:eastAsia="Calibri"/>
                <w:color w:val="000000"/>
              </w:rPr>
            </w:pPr>
            <w:r w:rsidRPr="00E27291">
              <w:rPr>
                <w:rFonts w:eastAsia="Calibri"/>
                <w:color w:val="000000"/>
              </w:rPr>
              <w:t xml:space="preserve">Works collaboratively in a team and, where </w:t>
            </w:r>
            <w:r w:rsidRPr="00E27291">
              <w:rPr>
                <w:rFonts w:eastAsia="Calibri"/>
                <w:color w:val="000000"/>
              </w:rPr>
              <w:lastRenderedPageBreak/>
              <w:t>appropriate, across or with different professional groups.</w:t>
            </w:r>
          </w:p>
          <w:p w14:paraId="1151DFAF" w14:textId="77777777" w:rsidR="00397FA4" w:rsidRPr="00153E19" w:rsidRDefault="00397FA4" w:rsidP="0013183F">
            <w:pPr>
              <w:rPr>
                <w:rFonts w:eastAsia="Calibri"/>
              </w:rPr>
            </w:pPr>
          </w:p>
        </w:tc>
      </w:tr>
      <w:tr w:rsidR="00397FA4" w:rsidRPr="00153E19" w14:paraId="0C794CED" w14:textId="77777777" w:rsidTr="004750FD">
        <w:tc>
          <w:tcPr>
            <w:tcW w:w="3745" w:type="dxa"/>
            <w:shd w:val="clear" w:color="auto" w:fill="auto"/>
            <w:vAlign w:val="center"/>
          </w:tcPr>
          <w:p w14:paraId="7F97D061" w14:textId="77777777" w:rsidR="00340D1D" w:rsidRDefault="00340D1D" w:rsidP="0013183F">
            <w:pPr>
              <w:rPr>
                <w:rFonts w:eastAsia="Calibri"/>
              </w:rPr>
            </w:pPr>
          </w:p>
          <w:p w14:paraId="2A1B421B" w14:textId="359A6815" w:rsidR="00397FA4" w:rsidRPr="00153E19" w:rsidRDefault="00397FA4" w:rsidP="0013183F">
            <w:pPr>
              <w:rPr>
                <w:rFonts w:eastAsia="Calibri"/>
              </w:rPr>
            </w:pPr>
            <w:r w:rsidRPr="00153E19">
              <w:rPr>
                <w:rFonts w:eastAsia="Calibri"/>
              </w:rPr>
              <w:t xml:space="preserve">Creativity, Innovation and Problem Solving </w:t>
            </w:r>
          </w:p>
        </w:tc>
        <w:tc>
          <w:tcPr>
            <w:tcW w:w="5315" w:type="dxa"/>
            <w:shd w:val="clear" w:color="auto" w:fill="auto"/>
            <w:vAlign w:val="center"/>
          </w:tcPr>
          <w:p w14:paraId="72C3C7AB" w14:textId="77777777" w:rsidR="00397FA4" w:rsidRPr="00153E19" w:rsidRDefault="00397FA4" w:rsidP="0013183F">
            <w:pPr>
              <w:rPr>
                <w:rFonts w:eastAsia="Calibri"/>
                <w:color w:val="000000"/>
              </w:rPr>
            </w:pPr>
          </w:p>
          <w:p w14:paraId="5BCFDE5C" w14:textId="61DB6CDA" w:rsidR="00397FA4" w:rsidRPr="00E27291" w:rsidRDefault="00397FA4" w:rsidP="00E27291">
            <w:pPr>
              <w:pStyle w:val="ListParagraph"/>
              <w:numPr>
                <w:ilvl w:val="0"/>
                <w:numId w:val="12"/>
              </w:numPr>
              <w:rPr>
                <w:rFonts w:eastAsia="Calibri"/>
                <w:color w:val="000000"/>
              </w:rPr>
            </w:pPr>
            <w:r w:rsidRPr="00E27291">
              <w:rPr>
                <w:rFonts w:eastAsia="Calibri"/>
                <w:color w:val="000000"/>
              </w:rPr>
              <w:t>Uses initiative or creativity to resolve problems</w:t>
            </w:r>
          </w:p>
          <w:p w14:paraId="50925759" w14:textId="77777777" w:rsidR="00397FA4" w:rsidRPr="00153E19" w:rsidRDefault="00397FA4" w:rsidP="0013183F">
            <w:pPr>
              <w:rPr>
                <w:rFonts w:eastAsia="Calibri"/>
                <w:color w:val="000000"/>
              </w:rPr>
            </w:pPr>
          </w:p>
          <w:p w14:paraId="192DC8B3" w14:textId="77777777" w:rsidR="00397FA4" w:rsidRPr="00153E19" w:rsidRDefault="00397FA4" w:rsidP="0013183F">
            <w:pPr>
              <w:rPr>
                <w:rFonts w:eastAsia="Calibri"/>
              </w:rPr>
            </w:pPr>
          </w:p>
        </w:tc>
      </w:tr>
    </w:tbl>
    <w:p w14:paraId="2488E808" w14:textId="77777777" w:rsidR="00397FA4" w:rsidRPr="00153E19" w:rsidRDefault="00397FA4" w:rsidP="00397FA4">
      <w:pPr>
        <w:rPr>
          <w:bCs/>
        </w:rPr>
      </w:pPr>
    </w:p>
    <w:p w14:paraId="62ECEFF7" w14:textId="77777777" w:rsidR="00B452F9" w:rsidRPr="00B452F9" w:rsidRDefault="00B452F9" w:rsidP="00B452F9">
      <w:pPr>
        <w:rPr>
          <w:bCs/>
        </w:rPr>
      </w:pPr>
      <w:r w:rsidRPr="00B452F9">
        <w:rPr>
          <w:bCs/>
        </w:rPr>
        <w:t xml:space="preserve">Please make sure you provide evidence to demonstrate clearly how you meet these criteria, </w:t>
      </w:r>
      <w:r w:rsidRPr="00B452F9">
        <w:rPr>
          <w:b/>
          <w:bCs/>
        </w:rPr>
        <w:t>which are all essential unless marked otherwise</w:t>
      </w:r>
      <w:r w:rsidRPr="00B452F9">
        <w:rPr>
          <w:bCs/>
        </w:rPr>
        <w:t xml:space="preserve">. Shortlisting will be based on your responses. </w:t>
      </w:r>
    </w:p>
    <w:p w14:paraId="5C3A1E71" w14:textId="77777777" w:rsidR="00397FA4" w:rsidRDefault="00397FA4" w:rsidP="00397FA4">
      <w:pPr>
        <w:rPr>
          <w:b/>
          <w:sz w:val="24"/>
        </w:rPr>
      </w:pPr>
    </w:p>
    <w:p w14:paraId="6A8FCF43" w14:textId="77777777" w:rsidR="00AC1B18" w:rsidRDefault="00AC1B18"/>
    <w:sectPr w:rsidR="00AC1B18">
      <w:headerReference w:type="default" r:id="rId10"/>
      <w:footerReference w:type="default" r:id="rId11"/>
      <w:pgSz w:w="11910" w:h="16840"/>
      <w:pgMar w:top="1660" w:right="1540" w:bottom="1140" w:left="1300" w:header="767"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240AC" w14:textId="77777777" w:rsidR="00A244C4" w:rsidRDefault="00A244C4">
      <w:r>
        <w:separator/>
      </w:r>
    </w:p>
  </w:endnote>
  <w:endnote w:type="continuationSeparator" w:id="0">
    <w:p w14:paraId="10F083E6" w14:textId="77777777" w:rsidR="00A244C4" w:rsidRDefault="00A2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8C78D" w14:textId="3A49FACF" w:rsidR="00C00C2F" w:rsidRDefault="00C00C2F">
    <w:pPr>
      <w:pStyle w:val="Footer"/>
    </w:pPr>
    <w:r>
      <w:t>001827</w:t>
    </w:r>
  </w:p>
  <w:p w14:paraId="333D4C72" w14:textId="2131027A" w:rsidR="00F376F6" w:rsidRDefault="00F376F6">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5BFD2" w14:textId="77777777" w:rsidR="00A244C4" w:rsidRDefault="00A244C4">
      <w:r>
        <w:separator/>
      </w:r>
    </w:p>
  </w:footnote>
  <w:footnote w:type="continuationSeparator" w:id="0">
    <w:p w14:paraId="0B00E52A" w14:textId="77777777" w:rsidR="00A244C4" w:rsidRDefault="00A24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5B9B9" w14:textId="77777777" w:rsidR="00F376F6" w:rsidRDefault="002B7C08">
    <w:pPr>
      <w:pStyle w:val="BodyText"/>
      <w:spacing w:line="14" w:lineRule="auto"/>
      <w:rPr>
        <w:b w:val="0"/>
        <w:sz w:val="20"/>
      </w:rPr>
    </w:pPr>
    <w:r>
      <w:rPr>
        <w:noProof/>
        <w:lang w:bidi="ar-SA"/>
      </w:rPr>
      <w:drawing>
        <wp:anchor distT="0" distB="0" distL="0" distR="0" simplePos="0" relativeHeight="251514880" behindDoc="1" locked="0" layoutInCell="1" allowOverlap="1" wp14:anchorId="6E767F54" wp14:editId="52FFA93C">
          <wp:simplePos x="0" y="0"/>
          <wp:positionH relativeFrom="page">
            <wp:posOffset>914400</wp:posOffset>
          </wp:positionH>
          <wp:positionV relativeFrom="page">
            <wp:posOffset>487084</wp:posOffset>
          </wp:positionV>
          <wp:extent cx="1090397" cy="4958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96AE4"/>
    <w:multiLevelType w:val="hybridMultilevel"/>
    <w:tmpl w:val="7FD6B9A4"/>
    <w:lvl w:ilvl="0" w:tplc="E794CF70">
      <w:start w:val="3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3BB5"/>
    <w:multiLevelType w:val="hybridMultilevel"/>
    <w:tmpl w:val="8878CCB4"/>
    <w:lvl w:ilvl="0" w:tplc="98AC62DC">
      <w:numFmt w:val="bullet"/>
      <w:lvlText w:val=""/>
      <w:lvlJc w:val="left"/>
      <w:pPr>
        <w:ind w:left="467" w:hanging="360"/>
      </w:pPr>
      <w:rPr>
        <w:rFonts w:ascii="Symbol" w:eastAsia="Symbol" w:hAnsi="Symbol" w:cs="Symbol" w:hint="default"/>
        <w:w w:val="100"/>
        <w:sz w:val="24"/>
        <w:szCs w:val="24"/>
        <w:lang w:val="en-GB" w:eastAsia="en-GB" w:bidi="en-GB"/>
      </w:rPr>
    </w:lvl>
    <w:lvl w:ilvl="1" w:tplc="086694C0">
      <w:numFmt w:val="bullet"/>
      <w:lvlText w:val="•"/>
      <w:lvlJc w:val="left"/>
      <w:pPr>
        <w:ind w:left="1291" w:hanging="360"/>
      </w:pPr>
      <w:rPr>
        <w:rFonts w:hint="default"/>
        <w:lang w:val="en-GB" w:eastAsia="en-GB" w:bidi="en-GB"/>
      </w:rPr>
    </w:lvl>
    <w:lvl w:ilvl="2" w:tplc="33C09D78">
      <w:numFmt w:val="bullet"/>
      <w:lvlText w:val="•"/>
      <w:lvlJc w:val="left"/>
      <w:pPr>
        <w:ind w:left="2122" w:hanging="360"/>
      </w:pPr>
      <w:rPr>
        <w:rFonts w:hint="default"/>
        <w:lang w:val="en-GB" w:eastAsia="en-GB" w:bidi="en-GB"/>
      </w:rPr>
    </w:lvl>
    <w:lvl w:ilvl="3" w:tplc="741E1A98">
      <w:numFmt w:val="bullet"/>
      <w:lvlText w:val="•"/>
      <w:lvlJc w:val="left"/>
      <w:pPr>
        <w:ind w:left="2953" w:hanging="360"/>
      </w:pPr>
      <w:rPr>
        <w:rFonts w:hint="default"/>
        <w:lang w:val="en-GB" w:eastAsia="en-GB" w:bidi="en-GB"/>
      </w:rPr>
    </w:lvl>
    <w:lvl w:ilvl="4" w:tplc="A4C45F4C">
      <w:numFmt w:val="bullet"/>
      <w:lvlText w:val="•"/>
      <w:lvlJc w:val="left"/>
      <w:pPr>
        <w:ind w:left="3784" w:hanging="360"/>
      </w:pPr>
      <w:rPr>
        <w:rFonts w:hint="default"/>
        <w:lang w:val="en-GB" w:eastAsia="en-GB" w:bidi="en-GB"/>
      </w:rPr>
    </w:lvl>
    <w:lvl w:ilvl="5" w:tplc="7BC80D5C">
      <w:numFmt w:val="bullet"/>
      <w:lvlText w:val="•"/>
      <w:lvlJc w:val="left"/>
      <w:pPr>
        <w:ind w:left="4615" w:hanging="360"/>
      </w:pPr>
      <w:rPr>
        <w:rFonts w:hint="default"/>
        <w:lang w:val="en-GB" w:eastAsia="en-GB" w:bidi="en-GB"/>
      </w:rPr>
    </w:lvl>
    <w:lvl w:ilvl="6" w:tplc="078A9CF2">
      <w:numFmt w:val="bullet"/>
      <w:lvlText w:val="•"/>
      <w:lvlJc w:val="left"/>
      <w:pPr>
        <w:ind w:left="5446" w:hanging="360"/>
      </w:pPr>
      <w:rPr>
        <w:rFonts w:hint="default"/>
        <w:lang w:val="en-GB" w:eastAsia="en-GB" w:bidi="en-GB"/>
      </w:rPr>
    </w:lvl>
    <w:lvl w:ilvl="7" w:tplc="5F022EA8">
      <w:numFmt w:val="bullet"/>
      <w:lvlText w:val="•"/>
      <w:lvlJc w:val="left"/>
      <w:pPr>
        <w:ind w:left="6277" w:hanging="360"/>
      </w:pPr>
      <w:rPr>
        <w:rFonts w:hint="default"/>
        <w:lang w:val="en-GB" w:eastAsia="en-GB" w:bidi="en-GB"/>
      </w:rPr>
    </w:lvl>
    <w:lvl w:ilvl="8" w:tplc="2736C504">
      <w:numFmt w:val="bullet"/>
      <w:lvlText w:val="•"/>
      <w:lvlJc w:val="left"/>
      <w:pPr>
        <w:ind w:left="7108" w:hanging="360"/>
      </w:pPr>
      <w:rPr>
        <w:rFonts w:hint="default"/>
        <w:lang w:val="en-GB" w:eastAsia="en-GB" w:bidi="en-GB"/>
      </w:rPr>
    </w:lvl>
  </w:abstractNum>
  <w:abstractNum w:abstractNumId="2"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8424FB"/>
    <w:multiLevelType w:val="hybridMultilevel"/>
    <w:tmpl w:val="F466B79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1CED6420"/>
    <w:multiLevelType w:val="hybridMultilevel"/>
    <w:tmpl w:val="DBD05D8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5" w15:restartNumberingAfterBreak="0">
    <w:nsid w:val="4186774F"/>
    <w:multiLevelType w:val="hybridMultilevel"/>
    <w:tmpl w:val="A2FC15C8"/>
    <w:lvl w:ilvl="0" w:tplc="8BD28D94">
      <w:numFmt w:val="bullet"/>
      <w:lvlText w:val="-"/>
      <w:lvlJc w:val="left"/>
      <w:pPr>
        <w:ind w:left="720" w:hanging="360"/>
      </w:pPr>
      <w:rPr>
        <w:rFonts w:ascii="Arial" w:eastAsia="Calibri" w:hAnsi="Arial" w:cs="Arial" w:hint="default"/>
      </w:rPr>
    </w:lvl>
    <w:lvl w:ilvl="1" w:tplc="E7404136">
      <w:numFmt w:val="bullet"/>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9207C8"/>
    <w:multiLevelType w:val="hybridMultilevel"/>
    <w:tmpl w:val="8E6A2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9F6545"/>
    <w:multiLevelType w:val="hybridMultilevel"/>
    <w:tmpl w:val="04B022D2"/>
    <w:lvl w:ilvl="0" w:tplc="8BD28D9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C8243F"/>
    <w:multiLevelType w:val="hybridMultilevel"/>
    <w:tmpl w:val="86CE195A"/>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9" w15:restartNumberingAfterBreak="0">
    <w:nsid w:val="57B4601B"/>
    <w:multiLevelType w:val="hybridMultilevel"/>
    <w:tmpl w:val="60643CE2"/>
    <w:lvl w:ilvl="0" w:tplc="30C8D7A6">
      <w:numFmt w:val="bullet"/>
      <w:lvlText w:val=""/>
      <w:lvlJc w:val="left"/>
      <w:pPr>
        <w:ind w:left="467" w:hanging="360"/>
      </w:pPr>
      <w:rPr>
        <w:rFonts w:ascii="Symbol" w:eastAsia="Symbol" w:hAnsi="Symbol" w:cs="Symbol" w:hint="default"/>
        <w:w w:val="100"/>
        <w:sz w:val="24"/>
        <w:szCs w:val="24"/>
        <w:lang w:val="en-GB" w:eastAsia="en-GB" w:bidi="en-GB"/>
      </w:rPr>
    </w:lvl>
    <w:lvl w:ilvl="1" w:tplc="815E6BB2">
      <w:numFmt w:val="bullet"/>
      <w:lvlText w:val="•"/>
      <w:lvlJc w:val="left"/>
      <w:pPr>
        <w:ind w:left="1291" w:hanging="360"/>
      </w:pPr>
      <w:rPr>
        <w:rFonts w:hint="default"/>
        <w:lang w:val="en-GB" w:eastAsia="en-GB" w:bidi="en-GB"/>
      </w:rPr>
    </w:lvl>
    <w:lvl w:ilvl="2" w:tplc="0930F2CE">
      <w:numFmt w:val="bullet"/>
      <w:lvlText w:val="•"/>
      <w:lvlJc w:val="left"/>
      <w:pPr>
        <w:ind w:left="2122" w:hanging="360"/>
      </w:pPr>
      <w:rPr>
        <w:rFonts w:hint="default"/>
        <w:lang w:val="en-GB" w:eastAsia="en-GB" w:bidi="en-GB"/>
      </w:rPr>
    </w:lvl>
    <w:lvl w:ilvl="3" w:tplc="53F06F0C">
      <w:numFmt w:val="bullet"/>
      <w:lvlText w:val="•"/>
      <w:lvlJc w:val="left"/>
      <w:pPr>
        <w:ind w:left="2953" w:hanging="360"/>
      </w:pPr>
      <w:rPr>
        <w:rFonts w:hint="default"/>
        <w:lang w:val="en-GB" w:eastAsia="en-GB" w:bidi="en-GB"/>
      </w:rPr>
    </w:lvl>
    <w:lvl w:ilvl="4" w:tplc="A68845CC">
      <w:numFmt w:val="bullet"/>
      <w:lvlText w:val="•"/>
      <w:lvlJc w:val="left"/>
      <w:pPr>
        <w:ind w:left="3784" w:hanging="360"/>
      </w:pPr>
      <w:rPr>
        <w:rFonts w:hint="default"/>
        <w:lang w:val="en-GB" w:eastAsia="en-GB" w:bidi="en-GB"/>
      </w:rPr>
    </w:lvl>
    <w:lvl w:ilvl="5" w:tplc="F94C94DC">
      <w:numFmt w:val="bullet"/>
      <w:lvlText w:val="•"/>
      <w:lvlJc w:val="left"/>
      <w:pPr>
        <w:ind w:left="4615" w:hanging="360"/>
      </w:pPr>
      <w:rPr>
        <w:rFonts w:hint="default"/>
        <w:lang w:val="en-GB" w:eastAsia="en-GB" w:bidi="en-GB"/>
      </w:rPr>
    </w:lvl>
    <w:lvl w:ilvl="6" w:tplc="5650ADE0">
      <w:numFmt w:val="bullet"/>
      <w:lvlText w:val="•"/>
      <w:lvlJc w:val="left"/>
      <w:pPr>
        <w:ind w:left="5446" w:hanging="360"/>
      </w:pPr>
      <w:rPr>
        <w:rFonts w:hint="default"/>
        <w:lang w:val="en-GB" w:eastAsia="en-GB" w:bidi="en-GB"/>
      </w:rPr>
    </w:lvl>
    <w:lvl w:ilvl="7" w:tplc="1EB0B0E6">
      <w:numFmt w:val="bullet"/>
      <w:lvlText w:val="•"/>
      <w:lvlJc w:val="left"/>
      <w:pPr>
        <w:ind w:left="6277" w:hanging="360"/>
      </w:pPr>
      <w:rPr>
        <w:rFonts w:hint="default"/>
        <w:lang w:val="en-GB" w:eastAsia="en-GB" w:bidi="en-GB"/>
      </w:rPr>
    </w:lvl>
    <w:lvl w:ilvl="8" w:tplc="D4D6CB5A">
      <w:numFmt w:val="bullet"/>
      <w:lvlText w:val="•"/>
      <w:lvlJc w:val="left"/>
      <w:pPr>
        <w:ind w:left="7108" w:hanging="360"/>
      </w:pPr>
      <w:rPr>
        <w:rFonts w:hint="default"/>
        <w:lang w:val="en-GB" w:eastAsia="en-GB" w:bidi="en-GB"/>
      </w:rPr>
    </w:lvl>
  </w:abstractNum>
  <w:abstractNum w:abstractNumId="10" w15:restartNumberingAfterBreak="0">
    <w:nsid w:val="6FDD3365"/>
    <w:multiLevelType w:val="hybridMultilevel"/>
    <w:tmpl w:val="9F586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837DE4"/>
    <w:multiLevelType w:val="hybridMultilevel"/>
    <w:tmpl w:val="E5E29EA0"/>
    <w:lvl w:ilvl="0" w:tplc="E794CF70">
      <w:start w:val="35"/>
      <w:numFmt w:val="bullet"/>
      <w:lvlText w:val="-"/>
      <w:lvlJc w:val="left"/>
      <w:pPr>
        <w:ind w:left="827" w:hanging="360"/>
      </w:pPr>
      <w:rPr>
        <w:rFonts w:ascii="Arial" w:eastAsia="Arial" w:hAnsi="Arial" w:cs="Aria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abstractNumId w:val="1"/>
  </w:num>
  <w:num w:numId="2">
    <w:abstractNumId w:val="9"/>
  </w:num>
  <w:num w:numId="3">
    <w:abstractNumId w:val="3"/>
  </w:num>
  <w:num w:numId="4">
    <w:abstractNumId w:val="4"/>
  </w:num>
  <w:num w:numId="5">
    <w:abstractNumId w:val="6"/>
  </w:num>
  <w:num w:numId="6">
    <w:abstractNumId w:val="0"/>
  </w:num>
  <w:num w:numId="7">
    <w:abstractNumId w:val="11"/>
  </w:num>
  <w:num w:numId="8">
    <w:abstractNumId w:val="8"/>
  </w:num>
  <w:num w:numId="9">
    <w:abstractNumId w:val="2"/>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F6"/>
    <w:rsid w:val="00000E85"/>
    <w:rsid w:val="00010403"/>
    <w:rsid w:val="00031956"/>
    <w:rsid w:val="00044317"/>
    <w:rsid w:val="000447D4"/>
    <w:rsid w:val="000811F8"/>
    <w:rsid w:val="000B0AE3"/>
    <w:rsid w:val="000B126E"/>
    <w:rsid w:val="000E61D6"/>
    <w:rsid w:val="00104E0F"/>
    <w:rsid w:val="00114A7D"/>
    <w:rsid w:val="00116542"/>
    <w:rsid w:val="00135022"/>
    <w:rsid w:val="00150DE1"/>
    <w:rsid w:val="00153E19"/>
    <w:rsid w:val="00185BAA"/>
    <w:rsid w:val="00191EFC"/>
    <w:rsid w:val="001F26CA"/>
    <w:rsid w:val="001F3CA5"/>
    <w:rsid w:val="00211878"/>
    <w:rsid w:val="00213C7C"/>
    <w:rsid w:val="002163C4"/>
    <w:rsid w:val="002411FE"/>
    <w:rsid w:val="0024707F"/>
    <w:rsid w:val="00252A42"/>
    <w:rsid w:val="00254AA5"/>
    <w:rsid w:val="0028289F"/>
    <w:rsid w:val="002941BD"/>
    <w:rsid w:val="002B7C08"/>
    <w:rsid w:val="002C13EA"/>
    <w:rsid w:val="002E55ED"/>
    <w:rsid w:val="0032335A"/>
    <w:rsid w:val="00333E50"/>
    <w:rsid w:val="00340D1D"/>
    <w:rsid w:val="0035010F"/>
    <w:rsid w:val="00397FA4"/>
    <w:rsid w:val="003A01A6"/>
    <w:rsid w:val="003A5B08"/>
    <w:rsid w:val="003B02DB"/>
    <w:rsid w:val="003B49C4"/>
    <w:rsid w:val="003D764A"/>
    <w:rsid w:val="00404241"/>
    <w:rsid w:val="00412672"/>
    <w:rsid w:val="00413C50"/>
    <w:rsid w:val="00437A98"/>
    <w:rsid w:val="00442E2E"/>
    <w:rsid w:val="00444444"/>
    <w:rsid w:val="00444612"/>
    <w:rsid w:val="0046094F"/>
    <w:rsid w:val="004610F3"/>
    <w:rsid w:val="004750FD"/>
    <w:rsid w:val="004C2AAF"/>
    <w:rsid w:val="004F7784"/>
    <w:rsid w:val="005012D1"/>
    <w:rsid w:val="00522B7B"/>
    <w:rsid w:val="00551E84"/>
    <w:rsid w:val="005531F1"/>
    <w:rsid w:val="00570FAB"/>
    <w:rsid w:val="00580D52"/>
    <w:rsid w:val="00591553"/>
    <w:rsid w:val="005A4AA1"/>
    <w:rsid w:val="005A722E"/>
    <w:rsid w:val="005B1F5F"/>
    <w:rsid w:val="005D1EDD"/>
    <w:rsid w:val="005F3952"/>
    <w:rsid w:val="005F49B6"/>
    <w:rsid w:val="005F4F49"/>
    <w:rsid w:val="006315CB"/>
    <w:rsid w:val="006A54F3"/>
    <w:rsid w:val="006C4CBD"/>
    <w:rsid w:val="006F5EBD"/>
    <w:rsid w:val="0075724E"/>
    <w:rsid w:val="00763041"/>
    <w:rsid w:val="007759F0"/>
    <w:rsid w:val="0078082B"/>
    <w:rsid w:val="007B6541"/>
    <w:rsid w:val="007C26C0"/>
    <w:rsid w:val="007D1BFD"/>
    <w:rsid w:val="007E54F1"/>
    <w:rsid w:val="007E68CB"/>
    <w:rsid w:val="008068B4"/>
    <w:rsid w:val="0081501D"/>
    <w:rsid w:val="00837E89"/>
    <w:rsid w:val="0084657F"/>
    <w:rsid w:val="0084711E"/>
    <w:rsid w:val="00862E2F"/>
    <w:rsid w:val="00885F94"/>
    <w:rsid w:val="00897437"/>
    <w:rsid w:val="008D09BA"/>
    <w:rsid w:val="008E18A3"/>
    <w:rsid w:val="008E4D38"/>
    <w:rsid w:val="00950F4F"/>
    <w:rsid w:val="00964EB6"/>
    <w:rsid w:val="00972D38"/>
    <w:rsid w:val="009736DB"/>
    <w:rsid w:val="00991903"/>
    <w:rsid w:val="0099519E"/>
    <w:rsid w:val="009963AE"/>
    <w:rsid w:val="009A5ADE"/>
    <w:rsid w:val="009B5CA5"/>
    <w:rsid w:val="009C3B71"/>
    <w:rsid w:val="009D7021"/>
    <w:rsid w:val="009D7BF0"/>
    <w:rsid w:val="009E32BF"/>
    <w:rsid w:val="009F3673"/>
    <w:rsid w:val="009F3E2F"/>
    <w:rsid w:val="00A122F2"/>
    <w:rsid w:val="00A244C4"/>
    <w:rsid w:val="00A41670"/>
    <w:rsid w:val="00A50895"/>
    <w:rsid w:val="00A74A75"/>
    <w:rsid w:val="00A8070C"/>
    <w:rsid w:val="00A85409"/>
    <w:rsid w:val="00A965BF"/>
    <w:rsid w:val="00AB52E2"/>
    <w:rsid w:val="00AC1B18"/>
    <w:rsid w:val="00AD27CD"/>
    <w:rsid w:val="00B452F9"/>
    <w:rsid w:val="00B720E2"/>
    <w:rsid w:val="00BB3BE5"/>
    <w:rsid w:val="00BD4818"/>
    <w:rsid w:val="00C00C2F"/>
    <w:rsid w:val="00C51955"/>
    <w:rsid w:val="00C53361"/>
    <w:rsid w:val="00C7452B"/>
    <w:rsid w:val="00C85DF2"/>
    <w:rsid w:val="00CB3FAD"/>
    <w:rsid w:val="00CB5951"/>
    <w:rsid w:val="00CD182F"/>
    <w:rsid w:val="00CE5647"/>
    <w:rsid w:val="00D04433"/>
    <w:rsid w:val="00D1317D"/>
    <w:rsid w:val="00D839A4"/>
    <w:rsid w:val="00DF098C"/>
    <w:rsid w:val="00E063EE"/>
    <w:rsid w:val="00E12369"/>
    <w:rsid w:val="00E15E4D"/>
    <w:rsid w:val="00E27291"/>
    <w:rsid w:val="00E3790B"/>
    <w:rsid w:val="00E407DA"/>
    <w:rsid w:val="00E52DA8"/>
    <w:rsid w:val="00E75373"/>
    <w:rsid w:val="00E9401C"/>
    <w:rsid w:val="00EB60CB"/>
    <w:rsid w:val="00ED24A8"/>
    <w:rsid w:val="00F01EDB"/>
    <w:rsid w:val="00F30EDA"/>
    <w:rsid w:val="00F376F6"/>
    <w:rsid w:val="00F4423D"/>
    <w:rsid w:val="00F94F59"/>
    <w:rsid w:val="00FB3329"/>
    <w:rsid w:val="00FC0370"/>
    <w:rsid w:val="00FD6419"/>
    <w:rsid w:val="00FE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E8D10"/>
  <w15:docId w15:val="{C928ED62-02CB-40C4-81D5-3657185C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uiPriority w:val="9"/>
    <w:qFormat/>
    <w:rsid w:val="002B7C08"/>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uiPriority w:val="9"/>
    <w:rsid w:val="002B7C08"/>
    <w:rPr>
      <w:rFonts w:ascii="Arial" w:eastAsiaTheme="majorEastAsia" w:hAnsi="Arial" w:cstheme="majorBidi"/>
      <w:b/>
      <w:sz w:val="28"/>
      <w:szCs w:val="32"/>
      <w:lang w:val="en-GB" w:eastAsia="en-GB" w:bidi="en-GB"/>
    </w:rPr>
  </w:style>
  <w:style w:type="paragraph" w:styleId="NormalWeb">
    <w:name w:val="Normal (Web)"/>
    <w:basedOn w:val="Normal"/>
    <w:uiPriority w:val="99"/>
    <w:semiHidden/>
    <w:unhideWhenUsed/>
    <w:rsid w:val="00580D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E12369"/>
    <w:pPr>
      <w:tabs>
        <w:tab w:val="center" w:pos="4513"/>
        <w:tab w:val="right" w:pos="9026"/>
      </w:tabs>
    </w:pPr>
  </w:style>
  <w:style w:type="character" w:customStyle="1" w:styleId="HeaderChar">
    <w:name w:val="Header Char"/>
    <w:basedOn w:val="DefaultParagraphFont"/>
    <w:link w:val="Header"/>
    <w:uiPriority w:val="99"/>
    <w:rsid w:val="00E12369"/>
    <w:rPr>
      <w:rFonts w:ascii="Arial" w:eastAsia="Arial" w:hAnsi="Arial" w:cs="Arial"/>
      <w:lang w:val="en-GB" w:eastAsia="en-GB" w:bidi="en-GB"/>
    </w:rPr>
  </w:style>
  <w:style w:type="paragraph" w:styleId="Footer">
    <w:name w:val="footer"/>
    <w:basedOn w:val="Normal"/>
    <w:link w:val="FooterChar"/>
    <w:uiPriority w:val="99"/>
    <w:unhideWhenUsed/>
    <w:rsid w:val="00E12369"/>
    <w:pPr>
      <w:tabs>
        <w:tab w:val="center" w:pos="4513"/>
        <w:tab w:val="right" w:pos="9026"/>
      </w:tabs>
    </w:pPr>
  </w:style>
  <w:style w:type="character" w:customStyle="1" w:styleId="FooterChar">
    <w:name w:val="Footer Char"/>
    <w:basedOn w:val="DefaultParagraphFont"/>
    <w:link w:val="Footer"/>
    <w:uiPriority w:val="99"/>
    <w:rsid w:val="00E12369"/>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707843">
      <w:bodyDiv w:val="1"/>
      <w:marLeft w:val="0"/>
      <w:marRight w:val="0"/>
      <w:marTop w:val="0"/>
      <w:marBottom w:val="0"/>
      <w:divBdr>
        <w:top w:val="none" w:sz="0" w:space="0" w:color="auto"/>
        <w:left w:val="none" w:sz="0" w:space="0" w:color="auto"/>
        <w:bottom w:val="none" w:sz="0" w:space="0" w:color="auto"/>
        <w:right w:val="none" w:sz="0" w:space="0" w:color="auto"/>
      </w:divBdr>
    </w:div>
    <w:div w:id="977300257">
      <w:bodyDiv w:val="1"/>
      <w:marLeft w:val="0"/>
      <w:marRight w:val="0"/>
      <w:marTop w:val="0"/>
      <w:marBottom w:val="0"/>
      <w:divBdr>
        <w:top w:val="none" w:sz="0" w:space="0" w:color="auto"/>
        <w:left w:val="none" w:sz="0" w:space="0" w:color="auto"/>
        <w:bottom w:val="none" w:sz="0" w:space="0" w:color="auto"/>
        <w:right w:val="none" w:sz="0" w:space="0" w:color="auto"/>
      </w:divBdr>
    </w:div>
    <w:div w:id="1160586457">
      <w:bodyDiv w:val="1"/>
      <w:marLeft w:val="0"/>
      <w:marRight w:val="0"/>
      <w:marTop w:val="0"/>
      <w:marBottom w:val="0"/>
      <w:divBdr>
        <w:top w:val="none" w:sz="0" w:space="0" w:color="auto"/>
        <w:left w:val="none" w:sz="0" w:space="0" w:color="auto"/>
        <w:bottom w:val="none" w:sz="0" w:space="0" w:color="auto"/>
        <w:right w:val="none" w:sz="0" w:space="0" w:color="auto"/>
      </w:divBdr>
    </w:div>
    <w:div w:id="1215700892">
      <w:bodyDiv w:val="1"/>
      <w:marLeft w:val="0"/>
      <w:marRight w:val="0"/>
      <w:marTop w:val="0"/>
      <w:marBottom w:val="0"/>
      <w:divBdr>
        <w:top w:val="none" w:sz="0" w:space="0" w:color="auto"/>
        <w:left w:val="none" w:sz="0" w:space="0" w:color="auto"/>
        <w:bottom w:val="none" w:sz="0" w:space="0" w:color="auto"/>
        <w:right w:val="none" w:sz="0" w:space="0" w:color="auto"/>
      </w:divBdr>
    </w:div>
    <w:div w:id="1646396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TaxCatchAllLabel xmlns="96308c73-0f47-479a-94ca-23c59dc302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A2663-49BD-407A-9FA1-C44600803D79}">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2.xml><?xml version="1.0" encoding="utf-8"?>
<ds:datastoreItem xmlns:ds="http://schemas.openxmlformats.org/officeDocument/2006/customXml" ds:itemID="{AAC2C127-DD5C-47BC-811B-505CD2CC3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FA28D-1B99-4370-ADAA-1DDE0F33D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Job-Description-Template-v2</vt:lpstr>
    </vt:vector>
  </TitlesOfParts>
  <Company>University of the Arts London</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Job-Description-Template-v2</dc:title>
  <dc:creator>Nadine Maloney</dc:creator>
  <cp:keywords>Recruitment, Job Description template</cp:keywords>
  <cp:lastModifiedBy>Clara Adenuga</cp:lastModifiedBy>
  <cp:revision>2</cp:revision>
  <dcterms:created xsi:type="dcterms:W3CDTF">2022-11-03T16:43:00Z</dcterms:created>
  <dcterms:modified xsi:type="dcterms:W3CDTF">2022-11-03T16:43:00Z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