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9"/>
        <w:gridCol w:w="4581"/>
      </w:tblGrid>
      <w:tr w:rsidR="002F0604" w:rsidTr="00444F7F">
        <w:tc>
          <w:tcPr>
            <w:tcW w:w="10490" w:type="dxa"/>
            <w:gridSpan w:val="2"/>
            <w:tcBorders>
              <w:bottom w:val="single" w:sz="8" w:space="0" w:color="auto"/>
            </w:tcBorders>
          </w:tcPr>
          <w:p w:rsidR="002F0604" w:rsidRPr="00524F02" w:rsidRDefault="00524F02" w:rsidP="00813FA1">
            <w:pPr>
              <w:pStyle w:val="Heading3"/>
              <w:spacing w:befor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24F02">
              <w:rPr>
                <w:rFonts w:asciiTheme="minorHAnsi" w:hAnsiTheme="minorHAnsi" w:cstheme="minorHAnsi"/>
                <w:noProof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-590550</wp:posOffset>
                  </wp:positionV>
                  <wp:extent cx="1724025" cy="301790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L_Lockup_LCF_BLAC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30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0604" w:rsidRPr="00524F02">
              <w:rPr>
                <w:rFonts w:asciiTheme="minorHAnsi" w:hAnsiTheme="minorHAnsi" w:cstheme="minorHAnsi"/>
                <w:b/>
                <w:szCs w:val="24"/>
              </w:rPr>
              <w:t>JOB DESCRIPTION AND PERSON SPECIFICATION</w:t>
            </w:r>
          </w:p>
        </w:tc>
      </w:tr>
      <w:tr w:rsidR="002F0604" w:rsidRPr="00756C8B" w:rsidTr="00444F7F">
        <w:trPr>
          <w:cantSplit/>
          <w:trHeight w:val="75"/>
        </w:trPr>
        <w:tc>
          <w:tcPr>
            <w:tcW w:w="5909" w:type="dxa"/>
            <w:tcBorders>
              <w:bottom w:val="nil"/>
              <w:right w:val="nil"/>
            </w:tcBorders>
          </w:tcPr>
          <w:p w:rsidR="002F0604" w:rsidRPr="00524F02" w:rsidRDefault="002F0604" w:rsidP="00813FA1">
            <w:pPr>
              <w:rPr>
                <w:rFonts w:asciiTheme="minorHAnsi" w:hAnsiTheme="minorHAnsi" w:cstheme="minorHAnsi"/>
                <w:szCs w:val="24"/>
              </w:rPr>
            </w:pPr>
            <w:r w:rsidRPr="00524F02">
              <w:rPr>
                <w:rFonts w:asciiTheme="minorHAnsi" w:hAnsiTheme="minorHAnsi" w:cstheme="minorHAnsi"/>
                <w:b/>
                <w:szCs w:val="24"/>
              </w:rPr>
              <w:t>Job Title</w:t>
            </w:r>
            <w:r w:rsidRPr="00524F02">
              <w:rPr>
                <w:rFonts w:asciiTheme="minorHAnsi" w:hAnsiTheme="minorHAnsi" w:cstheme="minorHAnsi"/>
                <w:szCs w:val="24"/>
              </w:rPr>
              <w:t>: Sustainability Co-ordinator</w:t>
            </w:r>
          </w:p>
          <w:p w:rsidR="002F0604" w:rsidRPr="00524F02" w:rsidRDefault="002F0604" w:rsidP="00813FA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2F0604" w:rsidRPr="00524F02" w:rsidRDefault="002F0604" w:rsidP="00813FA1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24F02">
              <w:rPr>
                <w:rFonts w:asciiTheme="minorHAnsi" w:hAnsiTheme="minorHAnsi" w:cstheme="minorHAnsi"/>
                <w:b/>
                <w:bCs/>
                <w:szCs w:val="24"/>
              </w:rPr>
              <w:t xml:space="preserve">Contract Length: </w:t>
            </w:r>
            <w:r w:rsidRPr="00524F02">
              <w:rPr>
                <w:rFonts w:asciiTheme="minorHAnsi" w:hAnsiTheme="minorHAnsi" w:cstheme="minorHAnsi"/>
                <w:szCs w:val="24"/>
              </w:rPr>
              <w:t>Permanent</w:t>
            </w:r>
          </w:p>
        </w:tc>
        <w:tc>
          <w:tcPr>
            <w:tcW w:w="4581" w:type="dxa"/>
            <w:tcBorders>
              <w:left w:val="nil"/>
              <w:bottom w:val="nil"/>
            </w:tcBorders>
          </w:tcPr>
          <w:p w:rsidR="002F0604" w:rsidRPr="00524F02" w:rsidRDefault="002F0604" w:rsidP="00813FA1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524F02">
              <w:rPr>
                <w:rFonts w:asciiTheme="minorHAnsi" w:hAnsiTheme="minorHAnsi" w:cstheme="minorHAnsi"/>
                <w:b/>
                <w:bCs/>
                <w:szCs w:val="24"/>
              </w:rPr>
              <w:t>Salary</w:t>
            </w:r>
            <w:r w:rsidRPr="00524F02">
              <w:rPr>
                <w:rFonts w:asciiTheme="minorHAnsi" w:hAnsiTheme="minorHAnsi" w:cstheme="minorHAnsi"/>
                <w:szCs w:val="24"/>
              </w:rPr>
              <w:t>: £</w:t>
            </w:r>
            <w:r w:rsidR="00524F02" w:rsidRPr="00524F02">
              <w:rPr>
                <w:rFonts w:asciiTheme="minorHAnsi" w:hAnsiTheme="minorHAnsi" w:cstheme="minorHAnsi"/>
                <w:szCs w:val="24"/>
              </w:rPr>
              <w:t>34,</w:t>
            </w:r>
            <w:r w:rsidR="001E6CD7">
              <w:rPr>
                <w:rFonts w:asciiTheme="minorHAnsi" w:hAnsiTheme="minorHAnsi" w:cstheme="minorHAnsi"/>
                <w:szCs w:val="24"/>
              </w:rPr>
              <w:t>943 pro rata</w:t>
            </w:r>
            <w:r w:rsidR="00524F02" w:rsidRPr="00524F02">
              <w:rPr>
                <w:rFonts w:asciiTheme="minorHAnsi" w:hAnsiTheme="minorHAnsi" w:cstheme="minorHAnsi"/>
                <w:szCs w:val="24"/>
              </w:rPr>
              <w:t xml:space="preserve"> pa</w:t>
            </w:r>
            <w:r w:rsidR="001E6CD7">
              <w:rPr>
                <w:rFonts w:asciiTheme="minorHAnsi" w:hAnsiTheme="minorHAnsi" w:cstheme="minorHAnsi"/>
                <w:szCs w:val="24"/>
              </w:rPr>
              <w:t xml:space="preserve"> (£20,965.80) </w:t>
            </w:r>
          </w:p>
          <w:p w:rsidR="002F0604" w:rsidRPr="00524F02" w:rsidRDefault="002F0604" w:rsidP="00813FA1">
            <w:pPr>
              <w:rPr>
                <w:rFonts w:asciiTheme="minorHAnsi" w:hAnsiTheme="minorHAnsi" w:cstheme="minorHAnsi"/>
                <w:szCs w:val="24"/>
              </w:rPr>
            </w:pPr>
          </w:p>
          <w:p w:rsidR="002F0604" w:rsidRPr="00524F02" w:rsidRDefault="002F0604" w:rsidP="00813FA1">
            <w:pPr>
              <w:rPr>
                <w:rFonts w:asciiTheme="minorHAnsi" w:hAnsiTheme="minorHAnsi" w:cstheme="minorHAnsi"/>
                <w:szCs w:val="24"/>
              </w:rPr>
            </w:pPr>
            <w:r w:rsidRPr="00524F02">
              <w:rPr>
                <w:rFonts w:asciiTheme="minorHAnsi" w:hAnsiTheme="minorHAnsi" w:cstheme="minorHAnsi"/>
                <w:b/>
                <w:szCs w:val="24"/>
              </w:rPr>
              <w:t xml:space="preserve">Hours/FTE: </w:t>
            </w:r>
            <w:r w:rsidR="001E6CD7" w:rsidRPr="001E6CD7">
              <w:rPr>
                <w:rFonts w:asciiTheme="minorHAnsi" w:hAnsiTheme="minorHAnsi" w:cstheme="minorHAnsi"/>
                <w:szCs w:val="24"/>
              </w:rPr>
              <w:t>21 hours per week</w:t>
            </w:r>
            <w:r w:rsidR="001E6CD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2F0604" w:rsidRPr="00524F02" w:rsidRDefault="002F0604" w:rsidP="00813FA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F0604" w:rsidRPr="00756C8B" w:rsidTr="00444F7F">
        <w:trPr>
          <w:cantSplit/>
          <w:trHeight w:val="75"/>
        </w:trPr>
        <w:tc>
          <w:tcPr>
            <w:tcW w:w="5909" w:type="dxa"/>
            <w:tcBorders>
              <w:top w:val="nil"/>
              <w:bottom w:val="nil"/>
              <w:right w:val="nil"/>
            </w:tcBorders>
          </w:tcPr>
          <w:p w:rsidR="002F0604" w:rsidRPr="00524F02" w:rsidRDefault="002F0604" w:rsidP="00813FA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24F02">
              <w:rPr>
                <w:rFonts w:asciiTheme="minorHAnsi" w:hAnsiTheme="minorHAnsi" w:cstheme="minorHAnsi"/>
                <w:b/>
                <w:szCs w:val="24"/>
              </w:rPr>
              <w:t xml:space="preserve">Grade: </w:t>
            </w:r>
            <w:r w:rsidRPr="00524F02">
              <w:rPr>
                <w:rFonts w:asciiTheme="minorHAnsi" w:hAnsiTheme="minorHAnsi" w:cstheme="minorHAnsi"/>
                <w:szCs w:val="24"/>
              </w:rPr>
              <w:t>4</w:t>
            </w:r>
          </w:p>
          <w:p w:rsidR="002F0604" w:rsidRPr="00524F02" w:rsidRDefault="002F0604" w:rsidP="00813FA1">
            <w:pPr>
              <w:rPr>
                <w:rFonts w:asciiTheme="minorHAnsi" w:hAnsiTheme="minorHAnsi" w:cstheme="minorHAnsi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4581" w:type="dxa"/>
            <w:tcBorders>
              <w:top w:val="nil"/>
              <w:left w:val="nil"/>
              <w:bottom w:val="nil"/>
            </w:tcBorders>
          </w:tcPr>
          <w:p w:rsidR="002F0604" w:rsidRPr="00524F02" w:rsidRDefault="002F0604" w:rsidP="00813FA1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524F02">
              <w:rPr>
                <w:rFonts w:asciiTheme="minorHAnsi" w:hAnsiTheme="minorHAnsi" w:cstheme="minorHAnsi"/>
                <w:b/>
                <w:szCs w:val="24"/>
              </w:rPr>
              <w:t xml:space="preserve">Location: </w:t>
            </w:r>
            <w:r w:rsidRPr="00524F02">
              <w:rPr>
                <w:rFonts w:asciiTheme="minorHAnsi" w:hAnsiTheme="minorHAnsi" w:cstheme="minorHAnsi"/>
                <w:bCs/>
                <w:szCs w:val="24"/>
              </w:rPr>
              <w:t>20 John Princes Street, London, W1G 0BJ</w:t>
            </w:r>
            <w:r w:rsidR="001E6CD7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1E6CD7" w:rsidRPr="001E6CD7">
              <w:rPr>
                <w:rFonts w:asciiTheme="minorHAnsi" w:hAnsiTheme="minorHAnsi" w:cstheme="minorHAnsi"/>
                <w:bCs/>
                <w:szCs w:val="24"/>
              </w:rPr>
              <w:t>and relocating to Stratford in 2022</w:t>
            </w:r>
          </w:p>
          <w:p w:rsidR="002F0604" w:rsidRPr="00524F02" w:rsidRDefault="002F0604" w:rsidP="00813FA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F0604" w:rsidRPr="00756C8B" w:rsidTr="00444F7F">
        <w:trPr>
          <w:cantSplit/>
          <w:trHeight w:val="75"/>
        </w:trPr>
        <w:tc>
          <w:tcPr>
            <w:tcW w:w="5909" w:type="dxa"/>
            <w:tcBorders>
              <w:top w:val="nil"/>
              <w:right w:val="nil"/>
            </w:tcBorders>
          </w:tcPr>
          <w:p w:rsidR="002F0604" w:rsidRPr="00524F02" w:rsidRDefault="002F0604" w:rsidP="00813FA1">
            <w:pPr>
              <w:rPr>
                <w:rFonts w:asciiTheme="minorHAnsi" w:hAnsiTheme="minorHAnsi" w:cstheme="minorHAnsi"/>
                <w:szCs w:val="24"/>
              </w:rPr>
            </w:pPr>
            <w:r w:rsidRPr="00524F02">
              <w:rPr>
                <w:rFonts w:asciiTheme="minorHAnsi" w:hAnsiTheme="minorHAnsi" w:cstheme="minorHAnsi"/>
                <w:b/>
                <w:szCs w:val="24"/>
              </w:rPr>
              <w:t>Accountable to</w:t>
            </w:r>
            <w:r w:rsidRPr="00524F02">
              <w:rPr>
                <w:rFonts w:asciiTheme="minorHAnsi" w:hAnsiTheme="minorHAnsi" w:cstheme="minorHAnsi"/>
                <w:szCs w:val="24"/>
              </w:rPr>
              <w:t>: Head of College Operations</w:t>
            </w:r>
          </w:p>
          <w:p w:rsidR="002F0604" w:rsidRPr="00524F02" w:rsidRDefault="002F0604" w:rsidP="00813FA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</w:tcBorders>
          </w:tcPr>
          <w:p w:rsidR="002F0604" w:rsidRPr="00524F02" w:rsidRDefault="002F0604" w:rsidP="00813FA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24F02">
              <w:rPr>
                <w:rFonts w:asciiTheme="minorHAnsi" w:hAnsiTheme="minorHAnsi" w:cstheme="minorHAnsi"/>
                <w:b/>
                <w:szCs w:val="24"/>
              </w:rPr>
              <w:t>College / Service</w:t>
            </w:r>
            <w:r w:rsidRPr="00524F02">
              <w:rPr>
                <w:rFonts w:asciiTheme="minorHAnsi" w:hAnsiTheme="minorHAnsi" w:cstheme="minorHAnsi"/>
                <w:szCs w:val="24"/>
              </w:rPr>
              <w:t>: London College of Fashion</w:t>
            </w:r>
          </w:p>
        </w:tc>
      </w:tr>
      <w:tr w:rsidR="002F0604" w:rsidTr="00444F7F">
        <w:tc>
          <w:tcPr>
            <w:tcW w:w="10490" w:type="dxa"/>
            <w:gridSpan w:val="2"/>
          </w:tcPr>
          <w:p w:rsidR="002F0604" w:rsidRDefault="002F0604" w:rsidP="00813FA1">
            <w:pPr>
              <w:ind w:left="1440"/>
              <w:rPr>
                <w:rFonts w:cs="Arial"/>
                <w:b/>
                <w:sz w:val="22"/>
              </w:rPr>
            </w:pPr>
          </w:p>
          <w:p w:rsidR="002F0604" w:rsidRDefault="002F0604" w:rsidP="00813FA1">
            <w:pPr>
              <w:ind w:left="3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Purpose of Role:</w:t>
            </w:r>
          </w:p>
          <w:p w:rsidR="002F0604" w:rsidRPr="00813FA1" w:rsidRDefault="002F0604" w:rsidP="00813FA1">
            <w:pPr>
              <w:jc w:val="both"/>
              <w:rPr>
                <w:rFonts w:ascii="Calibri" w:hAnsi="Calibri"/>
              </w:rPr>
            </w:pPr>
            <w:r w:rsidRPr="00105165">
              <w:rPr>
                <w:rFonts w:ascii="Calibri" w:hAnsi="Calibri"/>
              </w:rPr>
              <w:t>To assist the College with implementing sustainability projects and initiatives aligned to College and UAL sustainability objectives, the UAL Carbon Management Plan and UAL Environmental Management System</w:t>
            </w:r>
            <w:r w:rsidRPr="00813FA1">
              <w:rPr>
                <w:rFonts w:ascii="Calibri" w:hAnsi="Calibri"/>
              </w:rPr>
              <w:t xml:space="preserve">s and ISO standards. The </w:t>
            </w:r>
            <w:proofErr w:type="spellStart"/>
            <w:r w:rsidRPr="00813FA1">
              <w:rPr>
                <w:rFonts w:ascii="Calibri" w:hAnsi="Calibri"/>
              </w:rPr>
              <w:t>postholder</w:t>
            </w:r>
            <w:proofErr w:type="spellEnd"/>
            <w:r w:rsidRPr="00813FA1">
              <w:rPr>
                <w:rFonts w:ascii="Calibri" w:hAnsi="Calibri"/>
              </w:rPr>
              <w:t xml:space="preserve"> will be responsible for embedding sustainability principles in non-academic College functions and promoting and sharing sustainable behaviours through internal and external communications. Working with key stakeholders within the College the </w:t>
            </w:r>
            <w:proofErr w:type="spellStart"/>
            <w:r w:rsidRPr="00813FA1">
              <w:rPr>
                <w:rFonts w:ascii="Calibri" w:hAnsi="Calibri"/>
              </w:rPr>
              <w:t>postholder</w:t>
            </w:r>
            <w:proofErr w:type="spellEnd"/>
            <w:r w:rsidRPr="00813FA1">
              <w:rPr>
                <w:rFonts w:ascii="Calibri" w:hAnsi="Calibri"/>
              </w:rPr>
              <w:t xml:space="preserve"> will develop activities to engage staff and students with sustainabilit</w:t>
            </w:r>
            <w:r w:rsidRPr="00105165">
              <w:rPr>
                <w:rFonts w:ascii="Calibri" w:hAnsi="Calibri"/>
              </w:rPr>
              <w:t xml:space="preserve">y, implement sustainable procurement, promote responsible recycling, support </w:t>
            </w:r>
            <w:r w:rsidRPr="00813FA1">
              <w:rPr>
                <w:rFonts w:ascii="Calibri" w:hAnsi="Calibri"/>
              </w:rPr>
              <w:t xml:space="preserve">develop </w:t>
            </w:r>
            <w:r w:rsidRPr="00105165">
              <w:rPr>
                <w:rFonts w:ascii="Calibri" w:hAnsi="Calibri"/>
              </w:rPr>
              <w:t xml:space="preserve">projects to increase biodiversity indexes, implement the UAL Sustainable Travel Plan and work with central services to reduce energy consumption. </w:t>
            </w:r>
          </w:p>
          <w:p w:rsidR="002F0604" w:rsidRDefault="002F0604" w:rsidP="00813FA1">
            <w:pPr>
              <w:rPr>
                <w:b/>
                <w:sz w:val="20"/>
              </w:rPr>
            </w:pPr>
          </w:p>
        </w:tc>
      </w:tr>
      <w:tr w:rsidR="002F0604" w:rsidRPr="0023452E" w:rsidTr="00444F7F">
        <w:tc>
          <w:tcPr>
            <w:tcW w:w="10490" w:type="dxa"/>
            <w:gridSpan w:val="2"/>
          </w:tcPr>
          <w:p w:rsidR="002F0604" w:rsidRPr="001350B9" w:rsidRDefault="002F0604" w:rsidP="00813FA1">
            <w:pPr>
              <w:rPr>
                <w:rFonts w:cs="Arial"/>
                <w:b/>
                <w:sz w:val="22"/>
                <w:szCs w:val="22"/>
              </w:rPr>
            </w:pPr>
          </w:p>
          <w:p w:rsidR="002F0604" w:rsidRPr="00813FA1" w:rsidRDefault="002F0604" w:rsidP="00813F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05165">
              <w:rPr>
                <w:rFonts w:cs="Arial"/>
                <w:b/>
                <w:bCs/>
                <w:sz w:val="22"/>
                <w:szCs w:val="22"/>
              </w:rPr>
              <w:t>Duties and Responsibilities:</w:t>
            </w:r>
          </w:p>
          <w:p w:rsidR="002F0604" w:rsidRPr="00524F02" w:rsidRDefault="002F0604" w:rsidP="002F0604">
            <w:pPr>
              <w:pStyle w:val="BodyText"/>
              <w:numPr>
                <w:ilvl w:val="0"/>
                <w:numId w:val="1"/>
              </w:numPr>
              <w:pBdr>
                <w:bottom w:val="none" w:sz="0" w:space="0" w:color="auto"/>
              </w:pBd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524F02">
              <w:rPr>
                <w:rFonts w:ascii="Calibri" w:hAnsi="Calibri"/>
                <w:sz w:val="24"/>
                <w:szCs w:val="24"/>
              </w:rPr>
              <w:t>To promote working practices in line with sustainability strategies and agendas across all areas of the College.</w:t>
            </w:r>
          </w:p>
          <w:p w:rsidR="002F0604" w:rsidRPr="00524F02" w:rsidRDefault="002F0604" w:rsidP="002F0604">
            <w:pPr>
              <w:pStyle w:val="BodyText"/>
              <w:numPr>
                <w:ilvl w:val="0"/>
                <w:numId w:val="1"/>
              </w:numPr>
              <w:pBdr>
                <w:bottom w:val="none" w:sz="0" w:space="0" w:color="auto"/>
              </w:pBd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 w:val="24"/>
                <w:szCs w:val="24"/>
              </w:rPr>
            </w:pPr>
            <w:r w:rsidRPr="00524F02">
              <w:rPr>
                <w:rFonts w:ascii="Calibri" w:hAnsi="Calibri"/>
                <w:sz w:val="24"/>
                <w:szCs w:val="24"/>
              </w:rPr>
              <w:t>To actively engage with groups of staff and students to identify, develop and carry out sustainability initiatives in liaison with students, colleagues and the LCF People: Sustainability group.</w:t>
            </w:r>
          </w:p>
          <w:p w:rsidR="002F0604" w:rsidRPr="00524F02" w:rsidRDefault="002F0604" w:rsidP="002F0604">
            <w:pPr>
              <w:pStyle w:val="BodyText"/>
              <w:numPr>
                <w:ilvl w:val="0"/>
                <w:numId w:val="1"/>
              </w:numPr>
              <w:pBdr>
                <w:bottom w:val="none" w:sz="0" w:space="0" w:color="auto"/>
              </w:pBd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524F02">
              <w:rPr>
                <w:rFonts w:ascii="Calibri" w:hAnsi="Calibri"/>
                <w:sz w:val="24"/>
                <w:szCs w:val="24"/>
              </w:rPr>
              <w:t>To proactively communicate opportunities, achievements, information and procedures for staff and students to engage with sustainability for instance through posters, written/oral presentations, images and announcements.</w:t>
            </w:r>
          </w:p>
          <w:p w:rsidR="002F0604" w:rsidRPr="00524F02" w:rsidRDefault="002F0604" w:rsidP="00524F02">
            <w:pPr>
              <w:pStyle w:val="BodyText"/>
              <w:numPr>
                <w:ilvl w:val="0"/>
                <w:numId w:val="1"/>
              </w:numPr>
              <w:pBdr>
                <w:bottom w:val="none" w:sz="0" w:space="0" w:color="auto"/>
              </w:pBdr>
              <w:spacing w:before="120"/>
              <w:jc w:val="both"/>
              <w:rPr>
                <w:sz w:val="24"/>
                <w:szCs w:val="24"/>
              </w:rPr>
            </w:pPr>
            <w:r w:rsidRPr="00524F02">
              <w:rPr>
                <w:rFonts w:ascii="Calibri" w:hAnsi="Calibri"/>
                <w:sz w:val="24"/>
                <w:szCs w:val="24"/>
              </w:rPr>
              <w:t>To promote and coordinate submissions to the Green Gown awards.</w:t>
            </w:r>
          </w:p>
          <w:p w:rsidR="002F0604" w:rsidRPr="00524F02" w:rsidRDefault="002F0604" w:rsidP="00524F02">
            <w:pPr>
              <w:pStyle w:val="BodyText"/>
              <w:numPr>
                <w:ilvl w:val="0"/>
                <w:numId w:val="1"/>
              </w:numPr>
              <w:pBdr>
                <w:bottom w:val="none" w:sz="0" w:space="0" w:color="auto"/>
              </w:pBdr>
              <w:spacing w:before="120"/>
              <w:jc w:val="both"/>
              <w:rPr>
                <w:sz w:val="24"/>
                <w:szCs w:val="24"/>
              </w:rPr>
            </w:pPr>
            <w:r w:rsidRPr="00524F02">
              <w:rPr>
                <w:rFonts w:ascii="Calibri" w:hAnsi="Calibri"/>
                <w:sz w:val="24"/>
                <w:szCs w:val="24"/>
              </w:rPr>
              <w:t>To undertake simple research to provide up to date information on sustainable practices relevant to LCF.</w:t>
            </w:r>
          </w:p>
          <w:p w:rsidR="002F0604" w:rsidRPr="00524F02" w:rsidRDefault="002F0604" w:rsidP="00524F02">
            <w:pPr>
              <w:pStyle w:val="BodyText"/>
              <w:numPr>
                <w:ilvl w:val="0"/>
                <w:numId w:val="1"/>
              </w:numPr>
              <w:pBdr>
                <w:bottom w:val="none" w:sz="0" w:space="0" w:color="auto"/>
              </w:pBdr>
              <w:spacing w:before="120"/>
              <w:jc w:val="both"/>
              <w:rPr>
                <w:sz w:val="24"/>
                <w:szCs w:val="24"/>
              </w:rPr>
            </w:pPr>
            <w:r w:rsidRPr="00524F02">
              <w:rPr>
                <w:rFonts w:ascii="Calibri" w:hAnsi="Calibri"/>
                <w:sz w:val="24"/>
                <w:szCs w:val="24"/>
              </w:rPr>
              <w:t>To develop and support others to develop and engage with green spaces and biodiverse areas.</w:t>
            </w:r>
          </w:p>
          <w:p w:rsidR="002F0604" w:rsidRPr="00524F02" w:rsidRDefault="002F0604" w:rsidP="002F0604">
            <w:pPr>
              <w:pStyle w:val="BodyText"/>
              <w:numPr>
                <w:ilvl w:val="0"/>
                <w:numId w:val="1"/>
              </w:numPr>
              <w:pBdr>
                <w:bottom w:val="none" w:sz="0" w:space="0" w:color="auto"/>
              </w:pBd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524F02">
              <w:rPr>
                <w:rFonts w:ascii="Calibri" w:hAnsi="Calibri"/>
                <w:sz w:val="24"/>
                <w:szCs w:val="24"/>
              </w:rPr>
              <w:t>To write and contribute to reports on various subjects governed by work area such as PRME.</w:t>
            </w:r>
          </w:p>
          <w:p w:rsidR="002F0604" w:rsidRPr="00524F02" w:rsidRDefault="002F0604" w:rsidP="002F0604">
            <w:pPr>
              <w:pStyle w:val="ListParagraph"/>
              <w:numPr>
                <w:ilvl w:val="0"/>
                <w:numId w:val="1"/>
              </w:numPr>
              <w:spacing w:before="120"/>
              <w:rPr>
                <w:szCs w:val="24"/>
              </w:rPr>
            </w:pPr>
            <w:r w:rsidRPr="00524F02">
              <w:rPr>
                <w:rFonts w:ascii="Calibri" w:hAnsi="Calibri" w:cs="Arial"/>
                <w:szCs w:val="24"/>
              </w:rPr>
              <w:t xml:space="preserve">To coordinate LCF Green Week, sustainability-related events for Activities Week and </w:t>
            </w:r>
            <w:proofErr w:type="spellStart"/>
            <w:r w:rsidRPr="00524F02">
              <w:rPr>
                <w:rFonts w:ascii="Calibri" w:hAnsi="Calibri" w:cs="Arial"/>
                <w:szCs w:val="24"/>
              </w:rPr>
              <w:t>Freshers</w:t>
            </w:r>
            <w:proofErr w:type="spellEnd"/>
            <w:r w:rsidRPr="00524F02">
              <w:rPr>
                <w:rFonts w:ascii="Calibri" w:hAnsi="Calibri" w:cs="Arial"/>
                <w:szCs w:val="24"/>
              </w:rPr>
              <w:t xml:space="preserve">, and other initiatives concerned with Sustainable practice such as natural dye workshops. </w:t>
            </w:r>
          </w:p>
          <w:p w:rsidR="002F0604" w:rsidRPr="00524F02" w:rsidRDefault="002F0604" w:rsidP="002F0604">
            <w:pPr>
              <w:numPr>
                <w:ilvl w:val="0"/>
                <w:numId w:val="1"/>
              </w:numPr>
              <w:spacing w:before="120"/>
              <w:rPr>
                <w:szCs w:val="24"/>
              </w:rPr>
            </w:pPr>
            <w:r w:rsidRPr="00524F02">
              <w:rPr>
                <w:rFonts w:ascii="Calibri" w:hAnsi="Calibri" w:cs="Arial"/>
                <w:szCs w:val="24"/>
              </w:rPr>
              <w:t>To administer the LCF Sustainability Projects Fund.</w:t>
            </w:r>
          </w:p>
          <w:p w:rsidR="002F0604" w:rsidRPr="00524F02" w:rsidRDefault="002F0604" w:rsidP="002F0604">
            <w:pPr>
              <w:numPr>
                <w:ilvl w:val="0"/>
                <w:numId w:val="1"/>
              </w:numPr>
              <w:spacing w:before="120"/>
              <w:rPr>
                <w:szCs w:val="24"/>
              </w:rPr>
            </w:pPr>
            <w:r w:rsidRPr="00524F02">
              <w:rPr>
                <w:rFonts w:ascii="Calibri" w:hAnsi="Calibri" w:cs="Arial"/>
                <w:szCs w:val="24"/>
              </w:rPr>
              <w:t>To manage the LCF Operational Sustainability budget.</w:t>
            </w:r>
          </w:p>
          <w:p w:rsidR="002F0604" w:rsidRPr="00524F02" w:rsidRDefault="002F0604" w:rsidP="002F060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Calibri" w:hAnsi="Calibri" w:cs="Arial"/>
                <w:szCs w:val="24"/>
              </w:rPr>
            </w:pPr>
            <w:r w:rsidRPr="00524F02">
              <w:rPr>
                <w:rFonts w:ascii="Calibri" w:hAnsi="Calibri" w:cs="Arial"/>
                <w:szCs w:val="24"/>
              </w:rPr>
              <w:t>To closely liaise with members of the College Resource (Finance, Timetabling, Staffing, Site Administrators) and Technical teams, to ensure policies and procedures address improved sustainability outcomes.</w:t>
            </w:r>
          </w:p>
          <w:p w:rsidR="002F0604" w:rsidRPr="00DA22C6" w:rsidRDefault="002F0604" w:rsidP="002F060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Calibri" w:hAnsi="Calibri" w:cs="Arial"/>
              </w:rPr>
            </w:pPr>
            <w:r w:rsidRPr="00105165">
              <w:rPr>
                <w:rFonts w:ascii="Calibri" w:hAnsi="Calibri" w:cs="Arial"/>
              </w:rPr>
              <w:lastRenderedPageBreak/>
              <w:t>To monitor achievements against the college and UAL sustainability objectives.</w:t>
            </w:r>
          </w:p>
          <w:p w:rsidR="002F0604" w:rsidRPr="00813FA1" w:rsidRDefault="002F0604" w:rsidP="002F060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Calibri" w:hAnsi="Calibri" w:cs="Arial"/>
              </w:rPr>
            </w:pPr>
            <w:r w:rsidRPr="00105165">
              <w:rPr>
                <w:rFonts w:ascii="Calibri" w:hAnsi="Calibri" w:cs="Arial"/>
              </w:rPr>
              <w:t>To liaise with the College’s Centre for Sustainable Fashion.</w:t>
            </w:r>
          </w:p>
          <w:p w:rsidR="002F0604" w:rsidRPr="00813FA1" w:rsidRDefault="002F0604" w:rsidP="002F060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Calibri" w:hAnsi="Calibri" w:cs="Arial"/>
              </w:rPr>
            </w:pPr>
            <w:r w:rsidRPr="00105165">
              <w:rPr>
                <w:rFonts w:ascii="Calibri" w:hAnsi="Calibri" w:cs="Arial"/>
              </w:rPr>
              <w:t>To liaise with the UAL Head of Sustainability, to ensure College practice is in line with UAL initiatives.</w:t>
            </w:r>
          </w:p>
          <w:p w:rsidR="002F0604" w:rsidRDefault="002F0604" w:rsidP="002F0604">
            <w:pPr>
              <w:numPr>
                <w:ilvl w:val="0"/>
                <w:numId w:val="1"/>
              </w:numPr>
              <w:spacing w:before="120"/>
              <w:jc w:val="both"/>
            </w:pPr>
            <w:r w:rsidRPr="00813FA1">
              <w:rPr>
                <w:rFonts w:ascii="Calibri" w:hAnsi="Calibri" w:cs="Arial"/>
              </w:rPr>
              <w:t>To contribute to the UAL Sustainability Working Group.</w:t>
            </w:r>
          </w:p>
          <w:p w:rsidR="002F0604" w:rsidRPr="00DA22C6" w:rsidRDefault="002F0604" w:rsidP="002F060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Calibri" w:hAnsi="Calibri" w:cs="Arial"/>
                <w:szCs w:val="22"/>
              </w:rPr>
            </w:pPr>
            <w:r w:rsidRPr="00DA22C6">
              <w:rPr>
                <w:rFonts w:ascii="Calibri" w:hAnsi="Calibri" w:cs="Arial"/>
                <w:szCs w:val="22"/>
              </w:rPr>
              <w:t xml:space="preserve">Any other tasks consistent with your role as requested by the </w:t>
            </w:r>
            <w:r w:rsidRPr="00DA22C6">
              <w:rPr>
                <w:rFonts w:ascii="Calibri" w:hAnsi="Calibri"/>
                <w:szCs w:val="22"/>
                <w:lang w:val="en-US"/>
              </w:rPr>
              <w:t>Head of College Operations.</w:t>
            </w:r>
          </w:p>
          <w:p w:rsidR="002F0604" w:rsidRPr="00DA22C6" w:rsidRDefault="002F0604" w:rsidP="002F060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Arial"/>
                <w:szCs w:val="22"/>
              </w:rPr>
            </w:pPr>
            <w:r w:rsidRPr="00DA22C6">
              <w:rPr>
                <w:rFonts w:ascii="Calibri" w:hAnsi="Calibri" w:cs="Arial"/>
                <w:szCs w:val="22"/>
              </w:rPr>
              <w:t>To perform such duties consistent with your role as may from time to time be assigned to you anywhere within the University.</w:t>
            </w:r>
          </w:p>
          <w:p w:rsidR="002F0604" w:rsidRPr="00DA22C6" w:rsidRDefault="002F0604" w:rsidP="002F060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Arial"/>
                <w:szCs w:val="22"/>
              </w:rPr>
            </w:pPr>
            <w:r w:rsidRPr="00DA22C6">
              <w:rPr>
                <w:rFonts w:ascii="Calibri" w:hAnsi="Calibri" w:cs="Arial"/>
                <w:szCs w:val="22"/>
              </w:rPr>
              <w:t>To undertake health and safety duties and responsibilities appropriate to the role.</w:t>
            </w:r>
          </w:p>
          <w:p w:rsidR="002F0604" w:rsidRPr="00DA22C6" w:rsidRDefault="002F0604" w:rsidP="002F060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Arial"/>
                <w:szCs w:val="22"/>
              </w:rPr>
            </w:pPr>
            <w:r w:rsidRPr="00DA22C6">
              <w:rPr>
                <w:rFonts w:ascii="Calibri" w:hAnsi="Calibri" w:cs="Arial"/>
                <w:szCs w:val="22"/>
              </w:rPr>
              <w:t>To work in accordance with the University’s Equal Opportunities Policy and the Staff Charter, promoting equality and diversity in your work.</w:t>
            </w:r>
          </w:p>
          <w:p w:rsidR="002F0604" w:rsidRPr="00DA22C6" w:rsidRDefault="002F0604" w:rsidP="002F060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Arial"/>
                <w:szCs w:val="22"/>
              </w:rPr>
            </w:pPr>
            <w:r w:rsidRPr="00DA22C6">
              <w:rPr>
                <w:rFonts w:ascii="Calibri" w:hAnsi="Calibri" w:cs="Arial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:rsidR="002F0604" w:rsidRPr="00DA22C6" w:rsidRDefault="002F0604" w:rsidP="002F060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Arial"/>
                <w:szCs w:val="22"/>
              </w:rPr>
            </w:pPr>
            <w:r w:rsidRPr="00DA22C6">
              <w:rPr>
                <w:rFonts w:ascii="Calibri" w:hAnsi="Calibri" w:cs="Arial"/>
                <w:szCs w:val="22"/>
              </w:rPr>
              <w:t xml:space="preserve">To make full use of all information and communication technologies </w:t>
            </w:r>
            <w:r w:rsidRPr="00DA22C6">
              <w:rPr>
                <w:rFonts w:ascii="Calibri" w:hAnsi="Calibri" w:cs="Arial"/>
                <w:bCs/>
                <w:szCs w:val="22"/>
              </w:rPr>
              <w:t xml:space="preserve">in adherence to data protection policies </w:t>
            </w:r>
            <w:r w:rsidRPr="00DA22C6">
              <w:rPr>
                <w:rFonts w:ascii="Calibri" w:hAnsi="Calibri" w:cs="Arial"/>
                <w:szCs w:val="22"/>
              </w:rPr>
              <w:t>to meet the requirements of the role and to promote organisational effectiveness.</w:t>
            </w:r>
          </w:p>
          <w:p w:rsidR="002F0604" w:rsidRPr="00DA22C6" w:rsidRDefault="002F0604" w:rsidP="002F060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Calibri" w:hAnsi="Calibri" w:cs="Arial"/>
                <w:szCs w:val="22"/>
              </w:rPr>
            </w:pPr>
            <w:r w:rsidRPr="00DA22C6">
              <w:rPr>
                <w:rFonts w:ascii="Calibri" w:hAnsi="Calibri" w:cs="Arial"/>
                <w:szCs w:val="22"/>
              </w:rPr>
              <w:t>To conduct all financial matters associated with the role in accordance with the University’s policies and procedures, as laid down in the Financial Regulations.</w:t>
            </w:r>
          </w:p>
          <w:p w:rsidR="00524F02" w:rsidRDefault="00524F02" w:rsidP="00524F02">
            <w:pPr>
              <w:rPr>
                <w:bCs/>
                <w:iCs/>
              </w:rPr>
            </w:pPr>
          </w:p>
          <w:p w:rsidR="00524F02" w:rsidRDefault="00524F02" w:rsidP="00994515">
            <w:pPr>
              <w:pStyle w:val="ListParagraph"/>
              <w:numPr>
                <w:ilvl w:val="0"/>
                <w:numId w:val="3"/>
              </w:numPr>
            </w:pPr>
            <w:r w:rsidRPr="00524F02">
              <w:rPr>
                <w:rFonts w:asciiTheme="minorHAnsi" w:hAnsiTheme="minorHAnsi"/>
                <w:bCs/>
                <w:iCs/>
              </w:rPr>
              <w:t>To personally contribute towards reducing the university’s impact on the environment and support actions associated with the UAL Sustainability Manifesto (2016 – 2022).</w:t>
            </w:r>
          </w:p>
          <w:p w:rsidR="002F0604" w:rsidRPr="0023452E" w:rsidRDefault="002F0604" w:rsidP="00813FA1">
            <w:pPr>
              <w:spacing w:before="120"/>
              <w:ind w:left="460" w:hanging="284"/>
              <w:rPr>
                <w:rFonts w:cs="Arial"/>
                <w:b/>
                <w:sz w:val="22"/>
                <w:szCs w:val="22"/>
              </w:rPr>
            </w:pPr>
          </w:p>
          <w:p w:rsidR="002F0604" w:rsidRPr="0023452E" w:rsidRDefault="002F0604" w:rsidP="00813FA1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F0604" w:rsidRPr="0023452E" w:rsidTr="00444F7F">
        <w:trPr>
          <w:trHeight w:val="1252"/>
        </w:trPr>
        <w:tc>
          <w:tcPr>
            <w:tcW w:w="10490" w:type="dxa"/>
            <w:gridSpan w:val="2"/>
          </w:tcPr>
          <w:p w:rsidR="002F0604" w:rsidRPr="00524F02" w:rsidRDefault="002F0604" w:rsidP="00813FA1">
            <w:pPr>
              <w:pStyle w:val="Heading4"/>
              <w:rPr>
                <w:rFonts w:asciiTheme="minorHAnsi" w:hAnsiTheme="minorHAnsi"/>
                <w:b w:val="0"/>
                <w:szCs w:val="24"/>
              </w:rPr>
            </w:pPr>
            <w:r w:rsidRPr="00524F02">
              <w:rPr>
                <w:rFonts w:asciiTheme="minorHAnsi" w:hAnsiTheme="minorHAnsi"/>
                <w:szCs w:val="24"/>
              </w:rPr>
              <w:lastRenderedPageBreak/>
              <w:t xml:space="preserve">Key Working Relationships: </w:t>
            </w:r>
            <w:r w:rsidRPr="00524F02">
              <w:rPr>
                <w:rFonts w:asciiTheme="minorHAnsi" w:hAnsiTheme="minorHAnsi"/>
                <w:b w:val="0"/>
                <w:szCs w:val="24"/>
              </w:rPr>
              <w:t xml:space="preserve">Managers and other staff, and external partners, suppliers </w:t>
            </w:r>
            <w:proofErr w:type="spellStart"/>
            <w:r w:rsidRPr="00524F02">
              <w:rPr>
                <w:rFonts w:asciiTheme="minorHAnsi" w:hAnsiTheme="minorHAnsi"/>
                <w:b w:val="0"/>
                <w:szCs w:val="24"/>
              </w:rPr>
              <w:t>etc</w:t>
            </w:r>
            <w:proofErr w:type="spellEnd"/>
            <w:r w:rsidRPr="00524F02">
              <w:rPr>
                <w:rFonts w:asciiTheme="minorHAnsi" w:hAnsiTheme="minorHAnsi"/>
                <w:b w:val="0"/>
                <w:szCs w:val="24"/>
              </w:rPr>
              <w:t>; with whom regular contact is required.</w:t>
            </w:r>
          </w:p>
          <w:p w:rsidR="002F0604" w:rsidRPr="00524F02" w:rsidRDefault="002F0604" w:rsidP="00813FA1">
            <w:pPr>
              <w:rPr>
                <w:rFonts w:asciiTheme="minorHAnsi" w:hAnsiTheme="minorHAnsi"/>
                <w:szCs w:val="24"/>
              </w:rPr>
            </w:pPr>
          </w:p>
          <w:p w:rsidR="002F0604" w:rsidRPr="00524F02" w:rsidRDefault="002F0604" w:rsidP="002F060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Cs w:val="24"/>
              </w:rPr>
            </w:pPr>
            <w:r w:rsidRPr="00524F02">
              <w:rPr>
                <w:rFonts w:asciiTheme="minorHAnsi" w:hAnsiTheme="minorHAnsi" w:cs="Arial"/>
                <w:szCs w:val="24"/>
              </w:rPr>
              <w:t>Senior Managers in College and UAL</w:t>
            </w:r>
          </w:p>
          <w:p w:rsidR="002F0604" w:rsidRPr="00524F02" w:rsidRDefault="002F0604" w:rsidP="002F060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Cs w:val="24"/>
              </w:rPr>
            </w:pPr>
            <w:r w:rsidRPr="00524F02">
              <w:rPr>
                <w:rFonts w:asciiTheme="minorHAnsi" w:hAnsiTheme="minorHAnsi" w:cs="Arial"/>
                <w:szCs w:val="24"/>
              </w:rPr>
              <w:t>All staff groups; administrative, academic, technicians</w:t>
            </w:r>
          </w:p>
          <w:p w:rsidR="002F0604" w:rsidRPr="00524F02" w:rsidRDefault="002F0604" w:rsidP="002F060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Cs w:val="24"/>
              </w:rPr>
            </w:pPr>
            <w:r w:rsidRPr="00524F02">
              <w:rPr>
                <w:rFonts w:asciiTheme="minorHAnsi" w:hAnsiTheme="minorHAnsi" w:cs="Arial"/>
                <w:szCs w:val="24"/>
              </w:rPr>
              <w:t>LCF Centre for Sustainable Fashion Centre Manager</w:t>
            </w:r>
          </w:p>
          <w:p w:rsidR="002F0604" w:rsidRPr="00524F02" w:rsidRDefault="002F0604" w:rsidP="002F060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Cs w:val="24"/>
              </w:rPr>
            </w:pPr>
            <w:r w:rsidRPr="00524F02">
              <w:rPr>
                <w:rFonts w:asciiTheme="minorHAnsi" w:hAnsiTheme="minorHAnsi" w:cs="Arial"/>
                <w:szCs w:val="24"/>
              </w:rPr>
              <w:t>UAL Head of Sustainability</w:t>
            </w:r>
          </w:p>
          <w:p w:rsidR="002F0604" w:rsidRPr="00524F02" w:rsidRDefault="002F0604" w:rsidP="002F060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Cs w:val="24"/>
              </w:rPr>
            </w:pPr>
            <w:r w:rsidRPr="00524F02">
              <w:rPr>
                <w:rFonts w:asciiTheme="minorHAnsi" w:hAnsiTheme="minorHAnsi" w:cs="Arial"/>
                <w:szCs w:val="24"/>
              </w:rPr>
              <w:t>Facilities Managers</w:t>
            </w:r>
          </w:p>
          <w:p w:rsidR="002F0604" w:rsidRPr="00524F02" w:rsidRDefault="002F0604" w:rsidP="002F060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Cs w:val="24"/>
              </w:rPr>
            </w:pPr>
            <w:r w:rsidRPr="00524F02">
              <w:rPr>
                <w:rFonts w:asciiTheme="minorHAnsi" w:hAnsiTheme="minorHAnsi" w:cs="Arial"/>
                <w:szCs w:val="24"/>
              </w:rPr>
              <w:t>External Suppliers</w:t>
            </w:r>
          </w:p>
          <w:p w:rsidR="002F0604" w:rsidRPr="00524F02" w:rsidRDefault="002F0604" w:rsidP="00813FA1">
            <w:pPr>
              <w:overflowPunct/>
              <w:autoSpaceDE/>
              <w:autoSpaceDN/>
              <w:adjustRightInd/>
              <w:ind w:left="720"/>
              <w:textAlignment w:val="auto"/>
              <w:rPr>
                <w:rFonts w:asciiTheme="minorHAnsi" w:hAnsiTheme="minorHAnsi" w:cs="Arial"/>
                <w:szCs w:val="24"/>
              </w:rPr>
            </w:pPr>
          </w:p>
        </w:tc>
      </w:tr>
      <w:tr w:rsidR="002F0604" w:rsidRPr="0023452E" w:rsidTr="00444F7F">
        <w:tc>
          <w:tcPr>
            <w:tcW w:w="10490" w:type="dxa"/>
            <w:gridSpan w:val="2"/>
          </w:tcPr>
          <w:p w:rsidR="002F0604" w:rsidRPr="00524F02" w:rsidRDefault="002F0604" w:rsidP="00813FA1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rFonts w:asciiTheme="minorHAnsi" w:hAnsiTheme="minorHAnsi" w:cs="Arial"/>
                <w:b/>
                <w:bCs/>
                <w:szCs w:val="24"/>
                <w:u w:val="single"/>
              </w:rPr>
            </w:pPr>
            <w:r w:rsidRPr="00524F02">
              <w:rPr>
                <w:rFonts w:asciiTheme="minorHAnsi" w:hAnsiTheme="minorHAnsi" w:cs="Arial"/>
                <w:b/>
                <w:bCs/>
                <w:szCs w:val="24"/>
                <w:u w:val="single"/>
              </w:rPr>
              <w:t>Specific Management Responsibilities</w:t>
            </w:r>
          </w:p>
          <w:p w:rsidR="002F0604" w:rsidRPr="00524F02" w:rsidRDefault="002F0604" w:rsidP="00813FA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Cs w:val="24"/>
              </w:rPr>
            </w:pPr>
          </w:p>
          <w:p w:rsidR="002F0604" w:rsidRPr="00524F02" w:rsidRDefault="002F0604" w:rsidP="00813FA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Cs w:val="24"/>
              </w:rPr>
            </w:pPr>
            <w:r w:rsidRPr="00524F02">
              <w:rPr>
                <w:rFonts w:asciiTheme="minorHAnsi" w:hAnsiTheme="minorHAnsi" w:cs="Arial"/>
                <w:b/>
                <w:bCs/>
                <w:szCs w:val="24"/>
              </w:rPr>
              <w:t>Budgets</w:t>
            </w:r>
            <w:r w:rsidRPr="00524F02">
              <w:rPr>
                <w:rFonts w:asciiTheme="minorHAnsi" w:hAnsiTheme="minorHAnsi" w:cs="Arial"/>
                <w:szCs w:val="24"/>
              </w:rPr>
              <w:t>: £10k</w:t>
            </w:r>
          </w:p>
          <w:p w:rsidR="002F0604" w:rsidRPr="00524F02" w:rsidRDefault="002F0604" w:rsidP="00813FA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Cs w:val="24"/>
              </w:rPr>
            </w:pPr>
          </w:p>
          <w:p w:rsidR="002F0604" w:rsidRPr="00524F02" w:rsidRDefault="002F0604" w:rsidP="00813FA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Cs w:val="24"/>
              </w:rPr>
            </w:pPr>
            <w:r w:rsidRPr="00524F02">
              <w:rPr>
                <w:rFonts w:asciiTheme="minorHAnsi" w:hAnsiTheme="minorHAnsi" w:cs="Arial"/>
                <w:b/>
                <w:szCs w:val="24"/>
              </w:rPr>
              <w:t>Staff</w:t>
            </w:r>
            <w:r w:rsidRPr="00524F02">
              <w:rPr>
                <w:rFonts w:asciiTheme="minorHAnsi" w:hAnsiTheme="minorHAnsi" w:cs="Arial"/>
                <w:szCs w:val="24"/>
              </w:rPr>
              <w:t>: No</w:t>
            </w:r>
          </w:p>
          <w:p w:rsidR="002F0604" w:rsidRPr="00524F02" w:rsidRDefault="002F0604" w:rsidP="00813FA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szCs w:val="24"/>
              </w:rPr>
            </w:pPr>
          </w:p>
          <w:p w:rsidR="002F0604" w:rsidRPr="00524F02" w:rsidRDefault="002F0604" w:rsidP="00813FA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Cs w:val="24"/>
              </w:rPr>
            </w:pPr>
          </w:p>
        </w:tc>
      </w:tr>
    </w:tbl>
    <w:p w:rsidR="006B4CFC" w:rsidRDefault="006B4CFC"/>
    <w:p w:rsidR="00524F02" w:rsidRDefault="00524F02">
      <w:pPr>
        <w:overflowPunct/>
        <w:autoSpaceDE/>
        <w:autoSpaceDN/>
        <w:adjustRightInd/>
        <w:spacing w:after="160" w:line="259" w:lineRule="auto"/>
        <w:textAlignment w:val="auto"/>
      </w:pPr>
    </w:p>
    <w:p w:rsidR="00543F2E" w:rsidRDefault="00543F2E" w:rsidP="00543F2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Job Title:   Sustainability Co-ordinator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Grade:      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5282"/>
      </w:tblGrid>
      <w:tr w:rsidR="00543F2E" w:rsidTr="00444F7F">
        <w:trPr>
          <w:trHeight w:val="410"/>
        </w:trPr>
        <w:tc>
          <w:tcPr>
            <w:tcW w:w="9016" w:type="dxa"/>
            <w:gridSpan w:val="2"/>
            <w:shd w:val="clear" w:color="auto" w:fill="000000"/>
          </w:tcPr>
          <w:p w:rsidR="00543F2E" w:rsidRPr="00BF4F3E" w:rsidRDefault="00543F2E" w:rsidP="00813FA1">
            <w:pPr>
              <w:rPr>
                <w:rFonts w:eastAsia="Calibri" w:cs="Arial"/>
                <w:color w:val="262626"/>
                <w:sz w:val="28"/>
                <w:szCs w:val="28"/>
              </w:rPr>
            </w:pPr>
            <w:r w:rsidRPr="00BF4F3E">
              <w:rPr>
                <w:rFonts w:eastAsia="Calibri" w:cs="Arial"/>
                <w:sz w:val="28"/>
                <w:szCs w:val="28"/>
              </w:rPr>
              <w:t xml:space="preserve">Person Specification </w:t>
            </w:r>
          </w:p>
        </w:tc>
      </w:tr>
      <w:tr w:rsidR="00543F2E" w:rsidTr="00444F7F">
        <w:tc>
          <w:tcPr>
            <w:tcW w:w="3734" w:type="dxa"/>
            <w:shd w:val="clear" w:color="auto" w:fill="auto"/>
          </w:tcPr>
          <w:p w:rsidR="00543F2E" w:rsidRPr="00BF4F3E" w:rsidRDefault="00543F2E" w:rsidP="00813FA1">
            <w:pPr>
              <w:rPr>
                <w:rFonts w:eastAsia="Calibri" w:cs="Arial"/>
                <w:szCs w:val="24"/>
              </w:rPr>
            </w:pPr>
          </w:p>
          <w:p w:rsidR="00543F2E" w:rsidRPr="00BF4F3E" w:rsidRDefault="00543F2E" w:rsidP="00813FA1">
            <w:pPr>
              <w:rPr>
                <w:rFonts w:eastAsia="Calibri" w:cs="Arial"/>
                <w:szCs w:val="24"/>
              </w:rPr>
            </w:pPr>
            <w:r w:rsidRPr="00BF4F3E">
              <w:rPr>
                <w:rFonts w:eastAsia="Calibri" w:cs="Arial"/>
                <w:szCs w:val="24"/>
              </w:rPr>
              <w:t>Specialist Knowledge/ Qualifications</w:t>
            </w:r>
          </w:p>
          <w:p w:rsidR="00543F2E" w:rsidRPr="00BF4F3E" w:rsidRDefault="00543F2E" w:rsidP="00813FA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5282" w:type="dxa"/>
            <w:shd w:val="clear" w:color="auto" w:fill="auto"/>
          </w:tcPr>
          <w:p w:rsidR="00543F2E" w:rsidRPr="00DA22C6" w:rsidRDefault="00543F2E" w:rsidP="00813FA1">
            <w:pPr>
              <w:rPr>
                <w:rFonts w:eastAsia="Calibri" w:cs="Arial"/>
                <w:szCs w:val="24"/>
              </w:rPr>
            </w:pPr>
          </w:p>
          <w:p w:rsidR="00543F2E" w:rsidRPr="00DA22C6" w:rsidRDefault="00543F2E" w:rsidP="00813FA1">
            <w:pPr>
              <w:rPr>
                <w:rFonts w:cs="Arial"/>
                <w:bCs/>
              </w:rPr>
            </w:pPr>
            <w:r w:rsidRPr="00DA22C6">
              <w:rPr>
                <w:rFonts w:cs="Arial"/>
                <w:bCs/>
              </w:rPr>
              <w:t>Relevant qualification or training in an area related to environmental sustainability</w:t>
            </w:r>
          </w:p>
          <w:p w:rsidR="00543F2E" w:rsidRDefault="00543F2E" w:rsidP="00813FA1">
            <w:pPr>
              <w:rPr>
                <w:rFonts w:cs="Arial"/>
                <w:bCs/>
              </w:rPr>
            </w:pPr>
          </w:p>
          <w:p w:rsidR="00543F2E" w:rsidRPr="00DA22C6" w:rsidRDefault="00543F2E" w:rsidP="00813FA1">
            <w:pPr>
              <w:rPr>
                <w:rFonts w:eastAsia="Calibri" w:cs="Arial"/>
                <w:szCs w:val="24"/>
              </w:rPr>
            </w:pPr>
            <w:r w:rsidRPr="00DA22C6">
              <w:rPr>
                <w:rFonts w:cs="Arial"/>
                <w:bCs/>
              </w:rPr>
              <w:t>Demonstrable knowledge of current and developing initiatives in Sustainability focused working and social environments</w:t>
            </w:r>
          </w:p>
        </w:tc>
      </w:tr>
      <w:tr w:rsidR="00543F2E" w:rsidTr="00444F7F">
        <w:tc>
          <w:tcPr>
            <w:tcW w:w="3734" w:type="dxa"/>
            <w:shd w:val="clear" w:color="auto" w:fill="auto"/>
          </w:tcPr>
          <w:p w:rsidR="00543F2E" w:rsidRPr="00BF4F3E" w:rsidRDefault="00543F2E" w:rsidP="00813FA1">
            <w:pPr>
              <w:rPr>
                <w:rFonts w:eastAsia="Calibri" w:cs="Arial"/>
                <w:szCs w:val="24"/>
              </w:rPr>
            </w:pPr>
          </w:p>
          <w:p w:rsidR="00543F2E" w:rsidRPr="00BF4F3E" w:rsidRDefault="00543F2E" w:rsidP="00813FA1">
            <w:pPr>
              <w:rPr>
                <w:rFonts w:eastAsia="Calibri" w:cs="Arial"/>
                <w:szCs w:val="24"/>
              </w:rPr>
            </w:pPr>
            <w:r w:rsidRPr="00BF4F3E">
              <w:rPr>
                <w:rFonts w:eastAsia="Calibri" w:cs="Arial"/>
                <w:szCs w:val="24"/>
              </w:rPr>
              <w:t xml:space="preserve">Relevant Experience </w:t>
            </w:r>
          </w:p>
        </w:tc>
        <w:tc>
          <w:tcPr>
            <w:tcW w:w="5282" w:type="dxa"/>
            <w:shd w:val="clear" w:color="auto" w:fill="auto"/>
          </w:tcPr>
          <w:p w:rsidR="00543F2E" w:rsidRPr="00DA22C6" w:rsidRDefault="00543F2E" w:rsidP="00813FA1">
            <w:pPr>
              <w:rPr>
                <w:rFonts w:eastAsia="Calibri" w:cs="Arial"/>
                <w:i/>
                <w:szCs w:val="24"/>
              </w:rPr>
            </w:pPr>
          </w:p>
          <w:p w:rsidR="00543F2E" w:rsidRPr="00DA22C6" w:rsidRDefault="00543F2E" w:rsidP="00813FA1">
            <w:pPr>
              <w:rPr>
                <w:rFonts w:cs="Arial"/>
                <w:bCs/>
              </w:rPr>
            </w:pPr>
            <w:r w:rsidRPr="00DA22C6">
              <w:rPr>
                <w:rFonts w:cs="Arial"/>
                <w:bCs/>
              </w:rPr>
              <w:t>Demonstrable experience in developing environmental policy and practices</w:t>
            </w:r>
          </w:p>
          <w:p w:rsidR="00543F2E" w:rsidRPr="00DA22C6" w:rsidRDefault="00543F2E" w:rsidP="00813FA1">
            <w:pPr>
              <w:rPr>
                <w:rFonts w:cs="Arial"/>
                <w:bCs/>
              </w:rPr>
            </w:pPr>
            <w:r w:rsidRPr="00DA22C6">
              <w:rPr>
                <w:rFonts w:cs="Arial"/>
                <w:bCs/>
              </w:rPr>
              <w:t>Demonstrable experience of educating and driving cultural change in key procedural practices to address desirable outcomes</w:t>
            </w:r>
          </w:p>
          <w:p w:rsidR="00543F2E" w:rsidRPr="00DA22C6" w:rsidRDefault="00543F2E" w:rsidP="00813FA1">
            <w:pPr>
              <w:rPr>
                <w:rFonts w:eastAsia="Calibri" w:cs="Arial"/>
                <w:szCs w:val="24"/>
              </w:rPr>
            </w:pPr>
            <w:r w:rsidRPr="00DA22C6">
              <w:rPr>
                <w:rFonts w:cs="Arial"/>
                <w:bCs/>
              </w:rPr>
              <w:t>Experience of working in a public sector environment related to sustainable practice initiatives</w:t>
            </w:r>
          </w:p>
        </w:tc>
      </w:tr>
      <w:tr w:rsidR="00543F2E" w:rsidTr="00444F7F">
        <w:tc>
          <w:tcPr>
            <w:tcW w:w="3734" w:type="dxa"/>
            <w:shd w:val="clear" w:color="auto" w:fill="auto"/>
            <w:vAlign w:val="center"/>
          </w:tcPr>
          <w:p w:rsidR="00543F2E" w:rsidRPr="00BF4F3E" w:rsidRDefault="00543F2E" w:rsidP="00813FA1">
            <w:pPr>
              <w:rPr>
                <w:rFonts w:eastAsia="Calibri" w:cs="Arial"/>
                <w:szCs w:val="24"/>
              </w:rPr>
            </w:pPr>
            <w:r w:rsidRPr="00BF4F3E">
              <w:rPr>
                <w:rFonts w:eastAsia="Calibri" w:cs="Arial"/>
                <w:szCs w:val="24"/>
              </w:rPr>
              <w:t>Communication Skills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543F2E" w:rsidRPr="00BF4F3E" w:rsidRDefault="00543F2E" w:rsidP="00813FA1">
            <w:pPr>
              <w:rPr>
                <w:rFonts w:eastAsia="Calibri" w:cs="Arial"/>
                <w:color w:val="000000"/>
                <w:szCs w:val="24"/>
              </w:rPr>
            </w:pPr>
          </w:p>
          <w:p w:rsidR="00543F2E" w:rsidRPr="00BF4F3E" w:rsidRDefault="00543F2E" w:rsidP="00813FA1">
            <w:pPr>
              <w:rPr>
                <w:rFonts w:eastAsia="Calibri" w:cs="Arial"/>
                <w:color w:val="000000"/>
                <w:szCs w:val="24"/>
              </w:rPr>
            </w:pPr>
            <w:r w:rsidRPr="00BF4F3E">
              <w:rPr>
                <w:rFonts w:eastAsia="Calibri" w:cs="Arial"/>
                <w:color w:val="000000"/>
                <w:szCs w:val="24"/>
              </w:rPr>
              <w:t>Communicates effectively orally, in writing and/or using visual media.</w:t>
            </w:r>
          </w:p>
          <w:p w:rsidR="00543F2E" w:rsidRPr="00BF4F3E" w:rsidRDefault="00543F2E" w:rsidP="00813FA1">
            <w:pPr>
              <w:rPr>
                <w:rFonts w:eastAsia="Calibri" w:cs="Arial"/>
                <w:szCs w:val="24"/>
              </w:rPr>
            </w:pPr>
          </w:p>
        </w:tc>
      </w:tr>
      <w:tr w:rsidR="00543F2E" w:rsidTr="00444F7F">
        <w:tc>
          <w:tcPr>
            <w:tcW w:w="3734" w:type="dxa"/>
            <w:shd w:val="clear" w:color="auto" w:fill="auto"/>
            <w:vAlign w:val="center"/>
          </w:tcPr>
          <w:p w:rsidR="00543F2E" w:rsidRPr="00BF4F3E" w:rsidRDefault="00543F2E" w:rsidP="00813FA1">
            <w:pPr>
              <w:rPr>
                <w:rFonts w:eastAsia="Calibri" w:cs="Arial"/>
                <w:szCs w:val="24"/>
              </w:rPr>
            </w:pPr>
            <w:r w:rsidRPr="00BF4F3E">
              <w:rPr>
                <w:rFonts w:eastAsia="Calibri" w:cs="Arial"/>
                <w:szCs w:val="24"/>
              </w:rPr>
              <w:t>Leadership and Management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543F2E" w:rsidRPr="00BF4F3E" w:rsidRDefault="00543F2E" w:rsidP="00813FA1">
            <w:pPr>
              <w:rPr>
                <w:rFonts w:eastAsia="Calibri" w:cs="Arial"/>
                <w:color w:val="000000"/>
                <w:sz w:val="22"/>
                <w:szCs w:val="22"/>
              </w:rPr>
            </w:pPr>
          </w:p>
          <w:p w:rsidR="00543F2E" w:rsidRPr="00BF4F3E" w:rsidRDefault="00543F2E" w:rsidP="00813FA1">
            <w:pPr>
              <w:rPr>
                <w:rFonts w:eastAsia="Calibri" w:cs="Arial"/>
                <w:color w:val="000000"/>
                <w:szCs w:val="24"/>
              </w:rPr>
            </w:pPr>
            <w:r w:rsidRPr="00BF4F3E">
              <w:rPr>
                <w:rFonts w:eastAsia="Calibri" w:cs="Arial"/>
                <w:color w:val="000000"/>
                <w:szCs w:val="24"/>
              </w:rPr>
              <w:t xml:space="preserve">Motivates and leads a team effectively, setting clear objectives to manage performance </w:t>
            </w:r>
          </w:p>
          <w:p w:rsidR="00543F2E" w:rsidRPr="00BF4F3E" w:rsidRDefault="00543F2E" w:rsidP="00813FA1">
            <w:pPr>
              <w:rPr>
                <w:rFonts w:eastAsia="Calibri" w:cs="Arial"/>
                <w:i/>
                <w:szCs w:val="24"/>
              </w:rPr>
            </w:pPr>
          </w:p>
        </w:tc>
      </w:tr>
      <w:tr w:rsidR="00543F2E" w:rsidTr="00444F7F">
        <w:tc>
          <w:tcPr>
            <w:tcW w:w="3734" w:type="dxa"/>
            <w:shd w:val="clear" w:color="auto" w:fill="auto"/>
            <w:vAlign w:val="center"/>
          </w:tcPr>
          <w:p w:rsidR="00543F2E" w:rsidRPr="00BF4F3E" w:rsidRDefault="00543F2E" w:rsidP="00813FA1">
            <w:pPr>
              <w:rPr>
                <w:rFonts w:eastAsia="Calibri" w:cs="Arial"/>
                <w:szCs w:val="24"/>
              </w:rPr>
            </w:pPr>
            <w:r w:rsidRPr="00BF4F3E">
              <w:rPr>
                <w:rFonts w:eastAsia="Calibri" w:cs="Arial"/>
                <w:szCs w:val="24"/>
              </w:rPr>
              <w:t xml:space="preserve">Professional Practice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543F2E" w:rsidRPr="00BF4F3E" w:rsidRDefault="00543F2E" w:rsidP="00813FA1">
            <w:pPr>
              <w:rPr>
                <w:rFonts w:eastAsia="Calibri" w:cs="Arial"/>
                <w:color w:val="000000"/>
                <w:sz w:val="22"/>
                <w:szCs w:val="22"/>
              </w:rPr>
            </w:pPr>
          </w:p>
          <w:p w:rsidR="00543F2E" w:rsidRPr="00BF4F3E" w:rsidRDefault="00543F2E" w:rsidP="00813FA1">
            <w:pPr>
              <w:rPr>
                <w:rFonts w:eastAsia="Calibri" w:cs="Arial"/>
                <w:color w:val="000000"/>
                <w:szCs w:val="24"/>
              </w:rPr>
            </w:pPr>
            <w:r w:rsidRPr="00BF4F3E">
              <w:rPr>
                <w:rFonts w:eastAsia="Calibri" w:cs="Arial"/>
                <w:color w:val="000000"/>
                <w:szCs w:val="24"/>
              </w:rPr>
              <w:t xml:space="preserve">Contributes to advancing  professional practice/research or scholarly activity in own area of specialism </w:t>
            </w:r>
          </w:p>
          <w:p w:rsidR="00543F2E" w:rsidRPr="00BF4F3E" w:rsidRDefault="00543F2E" w:rsidP="00813FA1">
            <w:pPr>
              <w:rPr>
                <w:rFonts w:eastAsia="Calibri" w:cs="Arial"/>
                <w:color w:val="000000"/>
                <w:szCs w:val="24"/>
              </w:rPr>
            </w:pPr>
          </w:p>
        </w:tc>
      </w:tr>
      <w:tr w:rsidR="00543F2E" w:rsidTr="00444F7F">
        <w:tc>
          <w:tcPr>
            <w:tcW w:w="3734" w:type="dxa"/>
            <w:shd w:val="clear" w:color="auto" w:fill="auto"/>
            <w:vAlign w:val="center"/>
          </w:tcPr>
          <w:p w:rsidR="00543F2E" w:rsidRPr="00BF4F3E" w:rsidRDefault="00543F2E" w:rsidP="00813FA1">
            <w:pPr>
              <w:rPr>
                <w:rFonts w:eastAsia="Calibri" w:cs="Arial"/>
                <w:szCs w:val="24"/>
              </w:rPr>
            </w:pPr>
            <w:r w:rsidRPr="00BF4F3E">
              <w:rPr>
                <w:rFonts w:eastAsia="Calibri" w:cs="Arial"/>
                <w:szCs w:val="24"/>
              </w:rPr>
              <w:t>Planning and Managing Resources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543F2E" w:rsidRPr="00BF4F3E" w:rsidRDefault="00543F2E" w:rsidP="00813FA1">
            <w:pPr>
              <w:rPr>
                <w:rFonts w:eastAsia="Calibri" w:cs="Arial"/>
                <w:color w:val="000000"/>
                <w:szCs w:val="24"/>
              </w:rPr>
            </w:pPr>
          </w:p>
          <w:p w:rsidR="00543F2E" w:rsidRPr="00BF4F3E" w:rsidRDefault="00543F2E" w:rsidP="00813FA1">
            <w:pPr>
              <w:rPr>
                <w:rFonts w:eastAsia="Calibri" w:cs="Arial"/>
                <w:color w:val="000000"/>
                <w:szCs w:val="24"/>
              </w:rPr>
            </w:pPr>
            <w:r w:rsidRPr="00BF4F3E">
              <w:rPr>
                <w:rFonts w:eastAsia="Calibri" w:cs="Arial"/>
                <w:color w:val="000000"/>
                <w:szCs w:val="24"/>
              </w:rPr>
              <w:t>Plans, prioritises and organises work to achieve  objectives on time</w:t>
            </w:r>
          </w:p>
          <w:p w:rsidR="00543F2E" w:rsidRPr="00BF4F3E" w:rsidRDefault="00543F2E" w:rsidP="00813FA1">
            <w:pPr>
              <w:rPr>
                <w:rFonts w:eastAsia="Calibri" w:cs="Arial"/>
                <w:szCs w:val="24"/>
              </w:rPr>
            </w:pPr>
          </w:p>
        </w:tc>
      </w:tr>
      <w:tr w:rsidR="00543F2E" w:rsidTr="00444F7F">
        <w:tc>
          <w:tcPr>
            <w:tcW w:w="3734" w:type="dxa"/>
            <w:shd w:val="clear" w:color="auto" w:fill="auto"/>
            <w:vAlign w:val="center"/>
          </w:tcPr>
          <w:p w:rsidR="00543F2E" w:rsidRPr="00BF4F3E" w:rsidRDefault="00543F2E" w:rsidP="00813FA1">
            <w:pPr>
              <w:rPr>
                <w:rFonts w:eastAsia="Calibri" w:cs="Arial"/>
                <w:szCs w:val="24"/>
              </w:rPr>
            </w:pPr>
            <w:r w:rsidRPr="00BF4F3E">
              <w:rPr>
                <w:rFonts w:eastAsia="Calibri" w:cs="Arial"/>
                <w:szCs w:val="24"/>
              </w:rPr>
              <w:t>Teamwork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543F2E" w:rsidRPr="00BF4F3E" w:rsidRDefault="00543F2E" w:rsidP="00813FA1">
            <w:pPr>
              <w:rPr>
                <w:rFonts w:eastAsia="Calibri" w:cs="Arial"/>
                <w:color w:val="000000"/>
                <w:szCs w:val="24"/>
              </w:rPr>
            </w:pPr>
          </w:p>
          <w:p w:rsidR="00543F2E" w:rsidRPr="00BF4F3E" w:rsidRDefault="00543F2E" w:rsidP="00813FA1">
            <w:pPr>
              <w:rPr>
                <w:rFonts w:eastAsia="Calibri" w:cs="Arial"/>
                <w:color w:val="000000"/>
                <w:szCs w:val="24"/>
              </w:rPr>
            </w:pPr>
            <w:r w:rsidRPr="00BF4F3E">
              <w:rPr>
                <w:rFonts w:eastAsia="Calibri" w:cs="Arial"/>
                <w:color w:val="000000"/>
                <w:szCs w:val="24"/>
              </w:rPr>
              <w:t>Works collaboratively in a team and where appropriate across or with different professional groups.</w:t>
            </w:r>
          </w:p>
          <w:p w:rsidR="00543F2E" w:rsidRPr="00BF4F3E" w:rsidRDefault="00543F2E" w:rsidP="00813FA1">
            <w:pPr>
              <w:rPr>
                <w:rFonts w:eastAsia="Calibri" w:cs="Arial"/>
                <w:szCs w:val="24"/>
              </w:rPr>
            </w:pPr>
          </w:p>
        </w:tc>
      </w:tr>
      <w:tr w:rsidR="00543F2E" w:rsidTr="00444F7F">
        <w:tc>
          <w:tcPr>
            <w:tcW w:w="3734" w:type="dxa"/>
            <w:shd w:val="clear" w:color="auto" w:fill="auto"/>
            <w:vAlign w:val="center"/>
          </w:tcPr>
          <w:p w:rsidR="00543F2E" w:rsidRPr="00BF4F3E" w:rsidRDefault="00543F2E" w:rsidP="00813FA1">
            <w:pPr>
              <w:rPr>
                <w:rFonts w:eastAsia="Calibri" w:cs="Arial"/>
                <w:szCs w:val="24"/>
              </w:rPr>
            </w:pPr>
            <w:r w:rsidRPr="00BF4F3E">
              <w:rPr>
                <w:rFonts w:eastAsia="Calibri" w:cs="Arial"/>
                <w:szCs w:val="24"/>
              </w:rPr>
              <w:t>Student Experience or Customer Service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543F2E" w:rsidRPr="00BF4F3E" w:rsidRDefault="00543F2E" w:rsidP="00813FA1">
            <w:pPr>
              <w:rPr>
                <w:rFonts w:eastAsia="Calibri" w:cs="Arial"/>
                <w:color w:val="000000"/>
                <w:szCs w:val="24"/>
              </w:rPr>
            </w:pPr>
          </w:p>
          <w:p w:rsidR="00543F2E" w:rsidRPr="00BF4F3E" w:rsidRDefault="00543F2E" w:rsidP="00813FA1">
            <w:pPr>
              <w:rPr>
                <w:rFonts w:eastAsia="Calibri" w:cs="Arial"/>
                <w:color w:val="000000"/>
                <w:szCs w:val="24"/>
              </w:rPr>
            </w:pPr>
            <w:r w:rsidRPr="00BF4F3E">
              <w:rPr>
                <w:rFonts w:eastAsia="Calibri" w:cs="Arial"/>
                <w:color w:val="000000"/>
                <w:szCs w:val="24"/>
              </w:rPr>
              <w:t>Builds and maintains  positive relationships with students or customers</w:t>
            </w:r>
          </w:p>
          <w:p w:rsidR="00543F2E" w:rsidRPr="00BF4F3E" w:rsidRDefault="00543F2E" w:rsidP="00813FA1">
            <w:pPr>
              <w:rPr>
                <w:rFonts w:eastAsia="Calibri" w:cs="Arial"/>
                <w:szCs w:val="24"/>
              </w:rPr>
            </w:pPr>
          </w:p>
        </w:tc>
      </w:tr>
      <w:tr w:rsidR="00543F2E" w:rsidTr="00444F7F">
        <w:tc>
          <w:tcPr>
            <w:tcW w:w="3734" w:type="dxa"/>
            <w:shd w:val="clear" w:color="auto" w:fill="auto"/>
            <w:vAlign w:val="center"/>
          </w:tcPr>
          <w:p w:rsidR="00543F2E" w:rsidRPr="00BF4F3E" w:rsidRDefault="00543F2E" w:rsidP="00813FA1">
            <w:pPr>
              <w:rPr>
                <w:rFonts w:eastAsia="Calibri" w:cs="Arial"/>
                <w:szCs w:val="24"/>
              </w:rPr>
            </w:pPr>
            <w:r w:rsidRPr="00BF4F3E">
              <w:rPr>
                <w:rFonts w:eastAsia="Calibri" w:cs="Arial"/>
                <w:szCs w:val="24"/>
              </w:rPr>
              <w:t xml:space="preserve">Creativity, Innovation and Problem Solving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543F2E" w:rsidRPr="00BF4F3E" w:rsidRDefault="00543F2E" w:rsidP="00813FA1">
            <w:pPr>
              <w:rPr>
                <w:rFonts w:eastAsia="Calibri" w:cs="Arial"/>
                <w:color w:val="000000"/>
                <w:szCs w:val="24"/>
              </w:rPr>
            </w:pPr>
          </w:p>
          <w:p w:rsidR="00543F2E" w:rsidRPr="00BF4F3E" w:rsidRDefault="00543F2E" w:rsidP="00813FA1">
            <w:pPr>
              <w:rPr>
                <w:rFonts w:eastAsia="Calibri" w:cs="Arial"/>
                <w:color w:val="000000"/>
                <w:szCs w:val="24"/>
              </w:rPr>
            </w:pPr>
          </w:p>
          <w:p w:rsidR="00543F2E" w:rsidRPr="00BF4F3E" w:rsidRDefault="00543F2E" w:rsidP="00813FA1">
            <w:pPr>
              <w:rPr>
                <w:rFonts w:eastAsia="Calibri" w:cs="Arial"/>
                <w:color w:val="000000"/>
                <w:szCs w:val="24"/>
              </w:rPr>
            </w:pPr>
            <w:r w:rsidRPr="00BF4F3E">
              <w:rPr>
                <w:rFonts w:eastAsia="Calibri" w:cs="Arial"/>
                <w:color w:val="000000"/>
                <w:szCs w:val="24"/>
              </w:rPr>
              <w:t>Uses initiative or creativity to resolve problems</w:t>
            </w:r>
          </w:p>
          <w:p w:rsidR="00543F2E" w:rsidRPr="00BF4F3E" w:rsidRDefault="00543F2E" w:rsidP="00813FA1">
            <w:pPr>
              <w:rPr>
                <w:rFonts w:eastAsia="Calibri" w:cs="Arial"/>
                <w:szCs w:val="24"/>
              </w:rPr>
            </w:pPr>
          </w:p>
        </w:tc>
      </w:tr>
    </w:tbl>
    <w:p w:rsidR="00543F2E" w:rsidRDefault="00543F2E"/>
    <w:sectPr w:rsidR="00543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E94"/>
    <w:multiLevelType w:val="hybridMultilevel"/>
    <w:tmpl w:val="7672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51BE0"/>
    <w:multiLevelType w:val="hybridMultilevel"/>
    <w:tmpl w:val="68865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795CA2"/>
    <w:multiLevelType w:val="hybridMultilevel"/>
    <w:tmpl w:val="04BE29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04"/>
    <w:rsid w:val="001E6CD7"/>
    <w:rsid w:val="002F0604"/>
    <w:rsid w:val="00444F7F"/>
    <w:rsid w:val="00524F02"/>
    <w:rsid w:val="00543F2E"/>
    <w:rsid w:val="006B4CFC"/>
    <w:rsid w:val="00BA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8E3C"/>
  <w15:chartTrackingRefBased/>
  <w15:docId w15:val="{CA3B6DD6-553D-4F26-B6F3-1D513027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6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F0604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F0604"/>
    <w:pPr>
      <w:keepNext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F0604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F0604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2F0604"/>
    <w:pPr>
      <w:pBdr>
        <w:bottom w:val="single" w:sz="12" w:space="1" w:color="auto"/>
      </w:pBdr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2F0604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F06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Farenden</dc:creator>
  <cp:keywords/>
  <dc:description/>
  <cp:lastModifiedBy>Tina Scott</cp:lastModifiedBy>
  <cp:revision>5</cp:revision>
  <dcterms:created xsi:type="dcterms:W3CDTF">2019-08-08T12:14:00Z</dcterms:created>
  <dcterms:modified xsi:type="dcterms:W3CDTF">2019-08-30T13:13:00Z</dcterms:modified>
</cp:coreProperties>
</file>