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60D8B" w14:textId="77777777" w:rsidR="00594C01" w:rsidRPr="00C007C8" w:rsidRDefault="00594C01" w:rsidP="00C007C8"/>
    <w:tbl>
      <w:tblPr>
        <w:tblW w:w="921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2528"/>
        <w:gridCol w:w="2126"/>
      </w:tblGrid>
      <w:tr w:rsidR="00DE696E" w:rsidRPr="00815AAD" w14:paraId="2B8921DF" w14:textId="77777777" w:rsidTr="000C0840">
        <w:trPr>
          <w:trHeight w:val="406"/>
        </w:trPr>
        <w:tc>
          <w:tcPr>
            <w:tcW w:w="9214" w:type="dxa"/>
            <w:gridSpan w:val="3"/>
            <w:tcBorders>
              <w:bottom w:val="single" w:sz="8" w:space="0" w:color="auto"/>
            </w:tcBorders>
            <w:shd w:val="clear" w:color="auto" w:fill="000000"/>
            <w:vAlign w:val="center"/>
          </w:tcPr>
          <w:p w14:paraId="02024120" w14:textId="77777777" w:rsidR="00DE696E" w:rsidRPr="003D3432" w:rsidRDefault="00DE696E" w:rsidP="00303589">
            <w:pPr>
              <w:pStyle w:val="Heading3"/>
              <w:rPr>
                <w:rFonts w:asciiTheme="minorHAnsi" w:hAnsiTheme="minorHAnsi"/>
                <w:b w:val="0"/>
                <w:color w:val="FFFFFF"/>
                <w:szCs w:val="22"/>
              </w:rPr>
            </w:pPr>
            <w:r w:rsidRPr="003D3432">
              <w:rPr>
                <w:rFonts w:asciiTheme="minorHAnsi" w:hAnsiTheme="minorHAnsi"/>
                <w:color w:val="FFFFFF"/>
                <w:szCs w:val="22"/>
              </w:rPr>
              <w:t>JOB DESCRIPTION</w:t>
            </w:r>
          </w:p>
        </w:tc>
      </w:tr>
      <w:tr w:rsidR="00DE696E" w:rsidRPr="000C0840" w14:paraId="30A3B005" w14:textId="77777777" w:rsidTr="003D3432">
        <w:trPr>
          <w:trHeight w:val="413"/>
        </w:trPr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0478114" w14:textId="77777777" w:rsidR="00294063" w:rsidRDefault="00DE696E" w:rsidP="00294063">
            <w:r w:rsidRPr="00561666">
              <w:rPr>
                <w:rFonts w:asciiTheme="minorHAnsi" w:hAnsiTheme="minorHAnsi" w:cstheme="minorHAnsi"/>
                <w:b/>
                <w:sz w:val="22"/>
                <w:szCs w:val="22"/>
              </w:rPr>
              <w:t>Job title</w:t>
            </w:r>
            <w:r w:rsidRPr="0056166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87B6D" w:rsidRPr="005616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4063">
              <w:rPr>
                <w:rFonts w:ascii="Calibri" w:hAnsi="Calibri" w:cs="Calibri"/>
                <w:color w:val="000000"/>
                <w:sz w:val="22"/>
                <w:szCs w:val="22"/>
              </w:rPr>
              <w:t>Knowledge Exchange Staff Development Lead</w:t>
            </w:r>
          </w:p>
          <w:p w14:paraId="46E53929" w14:textId="466A262C" w:rsidR="003D3432" w:rsidRPr="00561666" w:rsidRDefault="00294063" w:rsidP="002940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Del="00294063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65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2CEBFDF" w14:textId="642E9A53" w:rsidR="00DE696E" w:rsidRPr="00561666" w:rsidRDefault="00DE696E" w:rsidP="000C0840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61666">
              <w:rPr>
                <w:rFonts w:asciiTheme="minorHAnsi" w:hAnsiTheme="minorHAnsi" w:cstheme="minorHAnsi"/>
                <w:b/>
                <w:sz w:val="22"/>
                <w:szCs w:val="22"/>
              </w:rPr>
              <w:t>Accountable to</w:t>
            </w:r>
            <w:r w:rsidRPr="0056166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87B6D" w:rsidRPr="005616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3589" w:rsidRPr="00561666">
              <w:rPr>
                <w:rFonts w:asciiTheme="minorHAnsi" w:hAnsiTheme="minorHAnsi" w:cstheme="minorHAnsi"/>
                <w:sz w:val="22"/>
                <w:szCs w:val="22"/>
              </w:rPr>
              <w:t>Director</w:t>
            </w:r>
            <w:r w:rsidR="00502E65" w:rsidRPr="00561666">
              <w:rPr>
                <w:rFonts w:asciiTheme="minorHAnsi" w:hAnsiTheme="minorHAnsi" w:cstheme="minorHAnsi"/>
                <w:sz w:val="22"/>
                <w:szCs w:val="22"/>
              </w:rPr>
              <w:t xml:space="preserve"> of</w:t>
            </w:r>
            <w:r w:rsidR="00303589" w:rsidRPr="00561666">
              <w:rPr>
                <w:rFonts w:asciiTheme="minorHAnsi" w:hAnsiTheme="minorHAnsi" w:cstheme="minorHAnsi"/>
                <w:sz w:val="22"/>
                <w:szCs w:val="22"/>
              </w:rPr>
              <w:t xml:space="preserve"> Knowledge Exchange</w:t>
            </w:r>
          </w:p>
        </w:tc>
      </w:tr>
      <w:tr w:rsidR="00DE696E" w:rsidRPr="000C0840" w14:paraId="5934C0E5" w14:textId="77777777" w:rsidTr="003D3432">
        <w:trPr>
          <w:trHeight w:val="43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A479C6" w14:textId="77777777" w:rsidR="00DE696E" w:rsidRPr="00561666" w:rsidRDefault="00DE696E" w:rsidP="00303589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1666">
              <w:rPr>
                <w:rFonts w:asciiTheme="minorHAnsi" w:hAnsiTheme="minorHAnsi" w:cstheme="minorHAnsi"/>
                <w:b/>
                <w:sz w:val="22"/>
                <w:szCs w:val="22"/>
              </w:rPr>
              <w:t>Contract length</w:t>
            </w:r>
            <w:r w:rsidRPr="0056166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0C0840" w:rsidRPr="00561666">
              <w:rPr>
                <w:rFonts w:asciiTheme="minorHAnsi" w:hAnsiTheme="minorHAnsi" w:cstheme="minorHAnsi"/>
                <w:sz w:val="22"/>
                <w:szCs w:val="22"/>
              </w:rPr>
              <w:t>Permanent</w:t>
            </w:r>
            <w:r w:rsidR="003D3432" w:rsidRPr="005616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AE05F1F" w14:textId="77777777" w:rsidR="00DE696E" w:rsidRPr="00561666" w:rsidRDefault="00DE696E" w:rsidP="001C6D2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61666">
              <w:rPr>
                <w:rFonts w:asciiTheme="minorHAnsi" w:hAnsiTheme="minorHAnsi" w:cstheme="minorHAnsi"/>
                <w:b/>
                <w:sz w:val="22"/>
                <w:szCs w:val="22"/>
              </w:rPr>
              <w:t>Hours per week</w:t>
            </w:r>
            <w:r w:rsidRPr="0056166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303589" w:rsidRPr="00561666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1CADF8F6" w14:textId="77777777" w:rsidR="00DE696E" w:rsidRPr="00561666" w:rsidRDefault="00DE696E" w:rsidP="00303589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61666">
              <w:rPr>
                <w:rFonts w:asciiTheme="minorHAnsi" w:hAnsiTheme="minorHAnsi" w:cstheme="minorHAnsi"/>
                <w:b/>
                <w:sz w:val="22"/>
                <w:szCs w:val="22"/>
              </w:rPr>
              <w:t>Weeks per year</w:t>
            </w:r>
            <w:r w:rsidRPr="0056166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616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61666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</w:tr>
      <w:tr w:rsidR="00DE696E" w:rsidRPr="000C0840" w14:paraId="24D5D8E9" w14:textId="77777777" w:rsidTr="003D3432">
        <w:trPr>
          <w:trHeight w:val="38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D8EEA0" w14:textId="43800592" w:rsidR="00DE696E" w:rsidRPr="00D03920" w:rsidRDefault="00DE696E" w:rsidP="003D34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4063">
              <w:rPr>
                <w:rFonts w:asciiTheme="minorHAnsi" w:hAnsiTheme="minorHAnsi" w:cstheme="minorHAnsi"/>
                <w:b/>
                <w:sz w:val="22"/>
                <w:szCs w:val="22"/>
              </w:rPr>
              <w:t>Salary</w:t>
            </w:r>
            <w:r w:rsidRPr="00D0392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2940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6E83" w:rsidRPr="00A56E83">
              <w:rPr>
                <w:rFonts w:asciiTheme="minorHAnsi" w:hAnsiTheme="minorHAnsi" w:cstheme="minorHAnsi"/>
                <w:sz w:val="22"/>
                <w:szCs w:val="22"/>
              </w:rPr>
              <w:t>£4</w:t>
            </w:r>
            <w:r w:rsidR="008064BA">
              <w:rPr>
                <w:rFonts w:asciiTheme="minorHAnsi" w:hAnsiTheme="minorHAnsi" w:cstheme="minorHAnsi"/>
                <w:sz w:val="22"/>
                <w:szCs w:val="22"/>
              </w:rPr>
              <w:t>6,42</w:t>
            </w:r>
            <w:r w:rsidR="00A56E83" w:rsidRPr="00A56E83">
              <w:rPr>
                <w:rFonts w:asciiTheme="minorHAnsi" w:hAnsiTheme="minorHAnsi" w:cstheme="minorHAnsi"/>
                <w:sz w:val="22"/>
                <w:szCs w:val="22"/>
              </w:rPr>
              <w:t>3 to £5</w:t>
            </w:r>
            <w:r w:rsidR="001A7452">
              <w:rPr>
                <w:rFonts w:asciiTheme="minorHAnsi" w:hAnsiTheme="minorHAnsi" w:cstheme="minorHAnsi"/>
                <w:sz w:val="22"/>
                <w:szCs w:val="22"/>
              </w:rPr>
              <w:t>5,932</w:t>
            </w:r>
            <w:r w:rsidR="00A56E83" w:rsidRPr="00A56E83">
              <w:rPr>
                <w:rFonts w:asciiTheme="minorHAnsi" w:hAnsiTheme="minorHAnsi" w:cstheme="minorHAnsi"/>
                <w:sz w:val="22"/>
                <w:szCs w:val="22"/>
              </w:rPr>
              <w:t xml:space="preserve"> per annum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475D5F" w14:textId="54E8C047" w:rsidR="00DE696E" w:rsidRPr="00561666" w:rsidRDefault="00DE696E" w:rsidP="003D3432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1666">
              <w:rPr>
                <w:rFonts w:asciiTheme="minorHAnsi" w:hAnsiTheme="minorHAnsi" w:cstheme="minorHAnsi"/>
                <w:b/>
                <w:sz w:val="22"/>
                <w:szCs w:val="22"/>
              </w:rPr>
              <w:t>Grade</w:t>
            </w:r>
            <w:r w:rsidRPr="0056166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108E1">
              <w:rPr>
                <w:rFonts w:ascii="Arial" w:hAnsi="Arial"/>
                <w:sz w:val="20"/>
              </w:rPr>
              <w:t xml:space="preserve"> </w:t>
            </w:r>
            <w:r w:rsidR="00A56E83">
              <w:rPr>
                <w:rFonts w:ascii="Arial" w:hAnsi="Arial"/>
                <w:sz w:val="20"/>
              </w:rPr>
              <w:t>6</w:t>
            </w:r>
          </w:p>
        </w:tc>
      </w:tr>
      <w:tr w:rsidR="00DE696E" w:rsidRPr="000C0840" w14:paraId="5863F6EB" w14:textId="77777777" w:rsidTr="003D3432">
        <w:trPr>
          <w:trHeight w:val="426"/>
        </w:trPr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AEF1C7D" w14:textId="4DDF1C8C" w:rsidR="00DE696E" w:rsidRPr="00561666" w:rsidRDefault="00DE696E" w:rsidP="003D343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616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Service</w:t>
            </w:r>
            <w:r w:rsidRPr="0056166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2F2164" w:rsidRPr="00561666">
              <w:rPr>
                <w:rFonts w:asciiTheme="minorHAnsi" w:hAnsiTheme="minorHAnsi" w:cstheme="minorHAnsi"/>
                <w:sz w:val="22"/>
                <w:szCs w:val="22"/>
              </w:rPr>
              <w:t xml:space="preserve">Academic and Development Services 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224C9F2" w14:textId="19FF75F2" w:rsidR="00DE696E" w:rsidRPr="00561666" w:rsidRDefault="00DE696E" w:rsidP="003D3432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1666">
              <w:rPr>
                <w:rFonts w:asciiTheme="minorHAnsi" w:hAnsiTheme="minorHAnsi" w:cstheme="minorHAnsi"/>
                <w:b/>
                <w:sz w:val="22"/>
                <w:szCs w:val="22"/>
              </w:rPr>
              <w:t>Location</w:t>
            </w:r>
            <w:r w:rsidRPr="0056166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2F2164" w:rsidRPr="00561666">
              <w:rPr>
                <w:rFonts w:asciiTheme="minorHAnsi" w:hAnsiTheme="minorHAnsi" w:cstheme="minorHAnsi"/>
                <w:sz w:val="22"/>
                <w:szCs w:val="22"/>
              </w:rPr>
              <w:t>Kings Cross</w:t>
            </w:r>
          </w:p>
        </w:tc>
      </w:tr>
      <w:tr w:rsidR="003D3432" w:rsidRPr="00C007C8" w14:paraId="7D952AD5" w14:textId="77777777" w:rsidTr="000C0840">
        <w:tc>
          <w:tcPr>
            <w:tcW w:w="9214" w:type="dxa"/>
            <w:gridSpan w:val="3"/>
          </w:tcPr>
          <w:p w14:paraId="0E048372" w14:textId="3C04E44B" w:rsidR="003D3432" w:rsidRPr="00561666" w:rsidRDefault="003D3432" w:rsidP="000B4B4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1666">
              <w:rPr>
                <w:rFonts w:asciiTheme="minorHAnsi" w:hAnsiTheme="minorHAnsi" w:cstheme="minorHAnsi"/>
                <w:b/>
                <w:sz w:val="22"/>
                <w:szCs w:val="22"/>
              </w:rPr>
              <w:t>What is</w:t>
            </w:r>
            <w:r w:rsidR="00303589" w:rsidRPr="005616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02E65" w:rsidRPr="00561666">
              <w:rPr>
                <w:rFonts w:asciiTheme="minorHAnsi" w:hAnsiTheme="minorHAnsi" w:cstheme="minorHAnsi"/>
                <w:b/>
                <w:sz w:val="22"/>
                <w:szCs w:val="22"/>
              </w:rPr>
              <w:t>Knowledge Exchange</w:t>
            </w:r>
            <w:r w:rsidRPr="00561666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  <w:p w14:paraId="52DB471A" w14:textId="0FCD796B" w:rsidR="002269BA" w:rsidRPr="00561666" w:rsidRDefault="002269BA" w:rsidP="00FE391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61666">
              <w:rPr>
                <w:rFonts w:asciiTheme="minorHAnsi" w:hAnsiTheme="minorHAnsi" w:cstheme="minorHAnsi"/>
                <w:i/>
                <w:sz w:val="22"/>
                <w:szCs w:val="22"/>
              </w:rPr>
              <w:t>“Knowledge Exchange is a set of activities, processes and skills that enable close collaboration between universities and non-academic partners to deliver commercial, environmental, cultural and societal benefits, opportunities for students, and economic growth.</w:t>
            </w:r>
            <w:r w:rsidRPr="0056166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”</w:t>
            </w:r>
          </w:p>
          <w:p w14:paraId="5ADFD8DE" w14:textId="77777777" w:rsidR="002269BA" w:rsidRPr="00561666" w:rsidRDefault="002269BA" w:rsidP="00FE39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878B7D" w14:textId="6CB35244" w:rsidR="002269BA" w:rsidRPr="00561666" w:rsidRDefault="00FE3915" w:rsidP="00226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1666">
              <w:rPr>
                <w:rFonts w:asciiTheme="minorHAnsi" w:hAnsiTheme="minorHAnsi" w:cstheme="minorHAnsi"/>
                <w:sz w:val="22"/>
                <w:szCs w:val="22"/>
              </w:rPr>
              <w:t xml:space="preserve">The cross-UAL department of </w:t>
            </w:r>
            <w:r w:rsidR="00502E65" w:rsidRPr="00561666">
              <w:rPr>
                <w:rFonts w:asciiTheme="minorHAnsi" w:hAnsiTheme="minorHAnsi" w:cstheme="minorHAnsi"/>
                <w:sz w:val="22"/>
                <w:szCs w:val="22"/>
              </w:rPr>
              <w:t>Knowledge Exchange</w:t>
            </w:r>
            <w:r w:rsidRPr="00561666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2269BA" w:rsidRPr="00561666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561666">
              <w:rPr>
                <w:rFonts w:asciiTheme="minorHAnsi" w:hAnsiTheme="minorHAnsi" w:cstheme="minorHAnsi"/>
                <w:sz w:val="22"/>
                <w:szCs w:val="22"/>
              </w:rPr>
              <w:t xml:space="preserve">E) </w:t>
            </w:r>
            <w:r w:rsidR="00502E65" w:rsidRPr="00561666">
              <w:rPr>
                <w:rFonts w:asciiTheme="minorHAnsi" w:hAnsiTheme="minorHAnsi" w:cstheme="minorHAnsi"/>
                <w:sz w:val="22"/>
                <w:szCs w:val="22"/>
              </w:rPr>
              <w:t xml:space="preserve">co-ordinates </w:t>
            </w:r>
            <w:r w:rsidR="002269BA" w:rsidRPr="00561666">
              <w:rPr>
                <w:rFonts w:asciiTheme="minorHAnsi" w:hAnsiTheme="minorHAnsi" w:cstheme="minorHAnsi"/>
                <w:sz w:val="22"/>
                <w:szCs w:val="22"/>
              </w:rPr>
              <w:t>the development, delivery and monitoring of</w:t>
            </w:r>
            <w:r w:rsidRPr="00561666">
              <w:rPr>
                <w:rFonts w:asciiTheme="minorHAnsi" w:hAnsiTheme="minorHAnsi" w:cstheme="minorHAnsi"/>
                <w:sz w:val="22"/>
                <w:szCs w:val="22"/>
              </w:rPr>
              <w:t xml:space="preserve"> the University of the Arts London’s </w:t>
            </w:r>
            <w:r w:rsidR="002269BA" w:rsidRPr="00561666">
              <w:rPr>
                <w:rFonts w:asciiTheme="minorHAnsi" w:hAnsiTheme="minorHAnsi" w:cstheme="minorHAnsi"/>
                <w:sz w:val="22"/>
                <w:szCs w:val="22"/>
              </w:rPr>
              <w:t>Knowledge Exchange Strategy, and its related activities</w:t>
            </w:r>
            <w:r w:rsidR="006D6B5D">
              <w:rPr>
                <w:rFonts w:asciiTheme="minorHAnsi" w:hAnsiTheme="minorHAnsi" w:cstheme="minorHAnsi"/>
                <w:sz w:val="22"/>
                <w:szCs w:val="22"/>
              </w:rPr>
              <w:t>– these include: staff consultancy, contract research, professional training, collaborative R&amp;D, innovation projects involving students, and enterprise support</w:t>
            </w:r>
            <w:r w:rsidR="002269BA" w:rsidRPr="00561666">
              <w:rPr>
                <w:rFonts w:asciiTheme="minorHAnsi" w:hAnsiTheme="minorHAnsi" w:cstheme="minorHAnsi"/>
                <w:sz w:val="22"/>
                <w:szCs w:val="22"/>
              </w:rPr>
              <w:t>.  The KE Department also works closely with the Research Management and Administration (RMA) department to manage the development and delivery of externally-funded academic projects</w:t>
            </w:r>
            <w:r w:rsidRPr="0056166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269BA" w:rsidRPr="00561666">
              <w:rPr>
                <w:rFonts w:asciiTheme="minorHAnsi" w:hAnsiTheme="minorHAnsi" w:cstheme="minorHAnsi"/>
                <w:sz w:val="22"/>
                <w:szCs w:val="22"/>
              </w:rPr>
              <w:t xml:space="preserve">  Knowledge Exchange is one of UAL’s core academic activities alongside Teaching &amp; Learning and Research, and is therefore integral to delivery of the University’s overall Academic and Institutional Objectives.</w:t>
            </w:r>
          </w:p>
          <w:p w14:paraId="3B5A53B8" w14:textId="77777777" w:rsidR="002269BA" w:rsidRPr="00561666" w:rsidRDefault="002269BA" w:rsidP="002269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C47C69" w14:textId="2C29B090" w:rsidR="002269BA" w:rsidRPr="00561666" w:rsidRDefault="002269BA" w:rsidP="00226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1666">
              <w:rPr>
                <w:rFonts w:asciiTheme="minorHAnsi" w:hAnsiTheme="minorHAnsi" w:cstheme="minorHAnsi"/>
                <w:sz w:val="22"/>
                <w:szCs w:val="22"/>
              </w:rPr>
              <w:t>UAL is a leading institution for KE within</w:t>
            </w:r>
            <w:r w:rsidR="00FE3915" w:rsidRPr="005616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61666">
              <w:rPr>
                <w:rFonts w:asciiTheme="minorHAnsi" w:hAnsiTheme="minorHAnsi" w:cstheme="minorHAnsi"/>
                <w:sz w:val="22"/>
                <w:szCs w:val="22"/>
              </w:rPr>
              <w:t>its disciplines</w:t>
            </w:r>
            <w:r w:rsidR="006079C1" w:rsidRPr="00561666">
              <w:rPr>
                <w:rFonts w:asciiTheme="minorHAnsi" w:hAnsiTheme="minorHAnsi" w:cstheme="minorHAnsi"/>
                <w:sz w:val="22"/>
                <w:szCs w:val="22"/>
              </w:rPr>
              <w:t>.  This is</w:t>
            </w:r>
            <w:r w:rsidRPr="00561666">
              <w:rPr>
                <w:rFonts w:asciiTheme="minorHAnsi" w:hAnsiTheme="minorHAnsi" w:cstheme="minorHAnsi"/>
                <w:sz w:val="22"/>
                <w:szCs w:val="22"/>
              </w:rPr>
              <w:t xml:space="preserve"> as a result of the University’s extensive networks of public, private and third sector partners,</w:t>
            </w:r>
            <w:r w:rsidR="006079C1" w:rsidRPr="00561666">
              <w:rPr>
                <w:rFonts w:asciiTheme="minorHAnsi" w:hAnsiTheme="minorHAnsi" w:cstheme="minorHAnsi"/>
                <w:sz w:val="22"/>
                <w:szCs w:val="22"/>
              </w:rPr>
              <w:t xml:space="preserve"> our highly entrepreneurial students and graduates,</w:t>
            </w:r>
            <w:r w:rsidRPr="005616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079C1" w:rsidRPr="00561666">
              <w:rPr>
                <w:rFonts w:asciiTheme="minorHAnsi" w:hAnsiTheme="minorHAnsi" w:cstheme="minorHAnsi"/>
                <w:sz w:val="22"/>
                <w:szCs w:val="22"/>
              </w:rPr>
              <w:t>our extensive work with local communities, our strong engagement of students with KE activities through course curricula,</w:t>
            </w:r>
            <w:r w:rsidRPr="00561666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6079C1" w:rsidRPr="00561666">
              <w:rPr>
                <w:rFonts w:asciiTheme="minorHAnsi" w:hAnsiTheme="minorHAnsi" w:cstheme="minorHAnsi"/>
                <w:sz w:val="22"/>
                <w:szCs w:val="22"/>
              </w:rPr>
              <w:t>our specialist knowledge and practice base.</w:t>
            </w:r>
          </w:p>
          <w:p w14:paraId="766AE30C" w14:textId="16B6FC83" w:rsidR="00E16BFF" w:rsidRPr="00561666" w:rsidRDefault="00E16BFF" w:rsidP="003035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4C01" w:rsidRPr="00C007C8" w14:paraId="5C0AF150" w14:textId="77777777" w:rsidTr="000C0840">
        <w:tc>
          <w:tcPr>
            <w:tcW w:w="9214" w:type="dxa"/>
            <w:gridSpan w:val="3"/>
          </w:tcPr>
          <w:p w14:paraId="5E9927BC" w14:textId="77777777" w:rsidR="00594C01" w:rsidRPr="00561666" w:rsidRDefault="003D3432" w:rsidP="000B4B4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1666">
              <w:rPr>
                <w:rFonts w:asciiTheme="minorHAnsi" w:hAnsiTheme="minorHAnsi" w:cstheme="minorHAnsi"/>
                <w:b/>
                <w:sz w:val="22"/>
                <w:szCs w:val="22"/>
              </w:rPr>
              <w:t>What is the purpose of the role?</w:t>
            </w:r>
          </w:p>
          <w:p w14:paraId="52D1F759" w14:textId="05A3C588" w:rsidR="002441AB" w:rsidRPr="003108E1" w:rsidRDefault="003108E1" w:rsidP="00114942">
            <w:pPr>
              <w:rPr>
                <w:rFonts w:ascii="Calibri" w:hAnsi="Calibri" w:cs="Calibri"/>
                <w:sz w:val="22"/>
                <w:szCs w:val="22"/>
              </w:rPr>
            </w:pPr>
            <w:r w:rsidRPr="003108E1">
              <w:rPr>
                <w:rFonts w:ascii="Calibri" w:hAnsi="Calibri" w:cs="Calibri"/>
                <w:sz w:val="22"/>
                <w:szCs w:val="22"/>
              </w:rPr>
              <w:t>The Knowledge Exchange (KE) Staff Develop</w:t>
            </w:r>
            <w:r w:rsidR="00A00D82">
              <w:rPr>
                <w:rFonts w:ascii="Calibri" w:hAnsi="Calibri" w:cs="Calibri"/>
                <w:sz w:val="22"/>
                <w:szCs w:val="22"/>
              </w:rPr>
              <w:t>ment Lead</w:t>
            </w:r>
            <w:r w:rsidRPr="003108E1">
              <w:rPr>
                <w:rFonts w:ascii="Calibri" w:hAnsi="Calibri" w:cs="Calibri"/>
                <w:sz w:val="22"/>
                <w:szCs w:val="22"/>
              </w:rPr>
              <w:t xml:space="preserve"> is to be a key enabler, supporting existing and prospective Research and KE practitioners in order to raise engagement and inculcate good practice. The role will focus on developing and </w:t>
            </w:r>
            <w:r w:rsidR="008C3CB1">
              <w:rPr>
                <w:rFonts w:ascii="Calibri" w:hAnsi="Calibri" w:cs="Calibri"/>
                <w:sz w:val="22"/>
                <w:szCs w:val="22"/>
              </w:rPr>
              <w:t>enhancing</w:t>
            </w:r>
            <w:r w:rsidR="008C3CB1" w:rsidRPr="003108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C3CB1">
              <w:rPr>
                <w:rFonts w:ascii="Calibri" w:hAnsi="Calibri" w:cs="Calibri"/>
                <w:sz w:val="22"/>
                <w:szCs w:val="22"/>
              </w:rPr>
              <w:t xml:space="preserve">specialist </w:t>
            </w:r>
            <w:r w:rsidRPr="003108E1">
              <w:rPr>
                <w:rFonts w:ascii="Calibri" w:hAnsi="Calibri" w:cs="Calibri"/>
                <w:sz w:val="22"/>
                <w:szCs w:val="22"/>
              </w:rPr>
              <w:t xml:space="preserve">staff development resources, systems and </w:t>
            </w:r>
            <w:r w:rsidR="008C3CB1">
              <w:rPr>
                <w:rFonts w:ascii="Calibri" w:hAnsi="Calibri" w:cs="Calibri"/>
                <w:sz w:val="22"/>
                <w:szCs w:val="22"/>
              </w:rPr>
              <w:t>networks</w:t>
            </w:r>
            <w:r w:rsidR="008C3CB1" w:rsidRPr="003108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108E1">
              <w:rPr>
                <w:rFonts w:ascii="Calibri" w:hAnsi="Calibri" w:cs="Calibri"/>
                <w:sz w:val="22"/>
                <w:szCs w:val="22"/>
              </w:rPr>
              <w:t xml:space="preserve">in response to requirements articulated within the </w:t>
            </w:r>
            <w:r w:rsidR="008C3CB1">
              <w:rPr>
                <w:rFonts w:ascii="Calibri" w:hAnsi="Calibri" w:cs="Calibri"/>
                <w:sz w:val="22"/>
                <w:szCs w:val="22"/>
              </w:rPr>
              <w:t xml:space="preserve">Researcher Development and </w:t>
            </w:r>
            <w:r w:rsidRPr="003108E1">
              <w:rPr>
                <w:rFonts w:ascii="Calibri" w:hAnsi="Calibri" w:cs="Calibri"/>
                <w:sz w:val="22"/>
                <w:szCs w:val="22"/>
              </w:rPr>
              <w:t xml:space="preserve">Knowledge Exchange </w:t>
            </w:r>
            <w:r w:rsidR="008C3CB1">
              <w:rPr>
                <w:rFonts w:ascii="Calibri" w:hAnsi="Calibri" w:cs="Calibri"/>
                <w:sz w:val="22"/>
                <w:szCs w:val="22"/>
              </w:rPr>
              <w:t xml:space="preserve">Concordats, </w:t>
            </w:r>
            <w:r w:rsidRPr="003108E1">
              <w:rPr>
                <w:rFonts w:ascii="Calibri" w:hAnsi="Calibri" w:cs="Calibri"/>
                <w:sz w:val="22"/>
                <w:szCs w:val="22"/>
              </w:rPr>
              <w:t>while using the Vitae Researcher Development Framework as a key point of reference.</w:t>
            </w:r>
            <w:r w:rsidR="008C3CB1">
              <w:rPr>
                <w:rFonts w:ascii="Calibri" w:hAnsi="Calibri" w:cs="Calibri"/>
                <w:sz w:val="22"/>
                <w:szCs w:val="22"/>
              </w:rPr>
              <w:t xml:space="preserve">  The role will </w:t>
            </w:r>
            <w:r w:rsidR="00FD31B5">
              <w:rPr>
                <w:rFonts w:ascii="Calibri" w:hAnsi="Calibri" w:cs="Calibri"/>
                <w:sz w:val="22"/>
                <w:szCs w:val="22"/>
              </w:rPr>
              <w:t xml:space="preserve">enable delivery of high quality staff development experiences to a large number of academic </w:t>
            </w:r>
            <w:proofErr w:type="gramStart"/>
            <w:r w:rsidR="00FD31B5">
              <w:rPr>
                <w:rFonts w:ascii="Calibri" w:hAnsi="Calibri" w:cs="Calibri"/>
                <w:sz w:val="22"/>
                <w:szCs w:val="22"/>
              </w:rPr>
              <w:t>staff</w:t>
            </w:r>
            <w:proofErr w:type="gramEnd"/>
            <w:r w:rsidR="00FD31B5">
              <w:rPr>
                <w:rFonts w:ascii="Calibri" w:hAnsi="Calibri" w:cs="Calibri"/>
                <w:sz w:val="22"/>
                <w:szCs w:val="22"/>
              </w:rPr>
              <w:t xml:space="preserve"> across a range of sites, including staff working remotely.</w:t>
            </w:r>
          </w:p>
        </w:tc>
      </w:tr>
      <w:tr w:rsidR="00594C01" w:rsidRPr="00C007C8" w14:paraId="0348899E" w14:textId="77777777" w:rsidTr="000C0840">
        <w:tc>
          <w:tcPr>
            <w:tcW w:w="9214" w:type="dxa"/>
            <w:gridSpan w:val="3"/>
          </w:tcPr>
          <w:p w14:paraId="2AD87E0E" w14:textId="77777777" w:rsidR="00594C01" w:rsidRPr="00561666" w:rsidRDefault="00594C01" w:rsidP="000B4B43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61666">
              <w:rPr>
                <w:rFonts w:asciiTheme="minorHAnsi" w:hAnsiTheme="minorHAnsi"/>
                <w:b/>
                <w:sz w:val="22"/>
                <w:szCs w:val="22"/>
              </w:rPr>
              <w:t>Duties and Responsibilities</w:t>
            </w:r>
          </w:p>
          <w:p w14:paraId="40FD437C" w14:textId="77777777" w:rsidR="003108E1" w:rsidRPr="003108E1" w:rsidRDefault="003108E1" w:rsidP="003108E1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3108E1">
              <w:rPr>
                <w:rFonts w:ascii="Calibri" w:hAnsi="Calibri" w:cs="Calibri"/>
                <w:sz w:val="22"/>
                <w:szCs w:val="22"/>
              </w:rPr>
              <w:t xml:space="preserve">Lead on the creation of a staff development offer that supports effective KE practice across both academic and non-academic staff (with an emphasis on the former).  </w:t>
            </w:r>
          </w:p>
          <w:p w14:paraId="2B27352B" w14:textId="2FF8235C" w:rsidR="003803C8" w:rsidRDefault="003108E1" w:rsidP="003803C8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3108E1">
              <w:rPr>
                <w:rFonts w:ascii="Calibri" w:hAnsi="Calibri" w:cs="Calibri"/>
                <w:sz w:val="22"/>
                <w:szCs w:val="22"/>
              </w:rPr>
              <w:t xml:space="preserve">Provide effective </w:t>
            </w:r>
            <w:r w:rsidR="00FD31B5">
              <w:rPr>
                <w:rFonts w:ascii="Calibri" w:hAnsi="Calibri" w:cs="Calibri"/>
                <w:sz w:val="22"/>
                <w:szCs w:val="22"/>
              </w:rPr>
              <w:t xml:space="preserve">KE staff development </w:t>
            </w:r>
            <w:r w:rsidRPr="003108E1">
              <w:rPr>
                <w:rFonts w:ascii="Calibri" w:hAnsi="Calibri" w:cs="Calibri"/>
                <w:sz w:val="22"/>
                <w:szCs w:val="22"/>
              </w:rPr>
              <w:t>support for academic staff on the Teaching and Research Pathways, as well as those on</w:t>
            </w:r>
            <w:r w:rsidR="00FD31B5">
              <w:rPr>
                <w:rFonts w:ascii="Calibri" w:hAnsi="Calibri" w:cs="Calibri"/>
                <w:sz w:val="22"/>
                <w:szCs w:val="22"/>
              </w:rPr>
              <w:t xml:space="preserve"> the</w:t>
            </w:r>
            <w:r w:rsidRPr="003108E1">
              <w:rPr>
                <w:rFonts w:ascii="Calibri" w:hAnsi="Calibri" w:cs="Calibri"/>
                <w:sz w:val="22"/>
                <w:szCs w:val="22"/>
              </w:rPr>
              <w:t xml:space="preserve"> KE</w:t>
            </w:r>
            <w:r w:rsidR="00FD31B5">
              <w:rPr>
                <w:rFonts w:ascii="Calibri" w:hAnsi="Calibri" w:cs="Calibri"/>
                <w:sz w:val="22"/>
                <w:szCs w:val="22"/>
              </w:rPr>
              <w:t xml:space="preserve"> Pathway</w:t>
            </w:r>
            <w:r w:rsidRPr="003108E1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BF40186" w14:textId="5D715FA7" w:rsidR="003108E1" w:rsidRPr="003803C8" w:rsidRDefault="003108E1" w:rsidP="003803C8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3803C8">
              <w:rPr>
                <w:rFonts w:ascii="Calibri" w:hAnsi="Calibri" w:cs="Calibri"/>
                <w:sz w:val="22"/>
                <w:szCs w:val="22"/>
              </w:rPr>
              <w:t xml:space="preserve">Ensure </w:t>
            </w:r>
            <w:r w:rsidR="00FD31B5">
              <w:rPr>
                <w:rFonts w:ascii="Calibri" w:hAnsi="Calibri" w:cs="Calibri"/>
                <w:sz w:val="22"/>
                <w:szCs w:val="22"/>
              </w:rPr>
              <w:t>any</w:t>
            </w:r>
            <w:r w:rsidR="00FD31B5" w:rsidRPr="003803C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03C8">
              <w:rPr>
                <w:rFonts w:ascii="Calibri" w:hAnsi="Calibri" w:cs="Calibri"/>
                <w:sz w:val="22"/>
                <w:szCs w:val="22"/>
              </w:rPr>
              <w:t xml:space="preserve">new staff development offer is well integrated with existing staff development opportunities offered by the Teaching, Learning and Employability Exchange, Research </w:t>
            </w:r>
            <w:r w:rsidRPr="003803C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Management</w:t>
            </w:r>
            <w:r w:rsidR="003803C8" w:rsidRPr="003803C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HR </w:t>
            </w:r>
            <w:proofErr w:type="spellStart"/>
            <w:r w:rsidR="003803C8" w:rsidRPr="003803C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Organisational</w:t>
            </w:r>
            <w:proofErr w:type="spellEnd"/>
            <w:r w:rsidR="003803C8" w:rsidRPr="003803C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Development Team</w:t>
            </w:r>
            <w:r w:rsidRPr="003803C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and </w:t>
            </w:r>
            <w:r w:rsidRPr="003803C8">
              <w:rPr>
                <w:rFonts w:ascii="Calibri" w:hAnsi="Calibri" w:cs="Calibri"/>
                <w:sz w:val="22"/>
                <w:szCs w:val="22"/>
              </w:rPr>
              <w:t>Administration and Colleges.</w:t>
            </w:r>
          </w:p>
          <w:p w14:paraId="7AEB2168" w14:textId="5BDCC1C4" w:rsidR="003108E1" w:rsidRPr="003108E1" w:rsidRDefault="003108E1" w:rsidP="003108E1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3108E1">
              <w:rPr>
                <w:rFonts w:ascii="Calibri" w:hAnsi="Calibri" w:cs="Calibri"/>
                <w:sz w:val="22"/>
                <w:szCs w:val="22"/>
              </w:rPr>
              <w:t>Lead the development of KE Communities of Practice across the university, to integrate research, theory and practice on knowledge exchange</w:t>
            </w:r>
            <w:r w:rsidR="00FD31B5">
              <w:rPr>
                <w:rFonts w:ascii="Calibri" w:hAnsi="Calibri" w:cs="Calibri"/>
                <w:sz w:val="22"/>
                <w:szCs w:val="22"/>
              </w:rPr>
              <w:t xml:space="preserve"> – including through the convening of online communities.</w:t>
            </w:r>
          </w:p>
          <w:p w14:paraId="296D87AC" w14:textId="5EC2E976" w:rsidR="003108E1" w:rsidRDefault="003108E1" w:rsidP="003108E1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3108E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Make a significant contribution to development and delivery of a </w:t>
            </w:r>
            <w:proofErr w:type="spellStart"/>
            <w:r w:rsidRPr="003108E1">
              <w:rPr>
                <w:rFonts w:ascii="Calibri" w:hAnsi="Calibri" w:cs="Calibri"/>
                <w:color w:val="000000"/>
                <w:sz w:val="22"/>
                <w:szCs w:val="22"/>
              </w:rPr>
              <w:t>programme</w:t>
            </w:r>
            <w:proofErr w:type="spellEnd"/>
            <w:r w:rsidRPr="00310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of cross-UAL </w:t>
            </w:r>
            <w:r w:rsidRPr="003108E1">
              <w:rPr>
                <w:rFonts w:ascii="Calibri" w:hAnsi="Calibri" w:cs="Calibri"/>
                <w:sz w:val="22"/>
                <w:szCs w:val="22"/>
              </w:rPr>
              <w:t xml:space="preserve">Knowledge Exchange Events aimed at sharing good KE practice, building </w:t>
            </w:r>
            <w:proofErr w:type="spellStart"/>
            <w:r w:rsidRPr="003108E1">
              <w:rPr>
                <w:rFonts w:ascii="Calibri" w:hAnsi="Calibri" w:cs="Calibri"/>
                <w:sz w:val="22"/>
                <w:szCs w:val="22"/>
              </w:rPr>
              <w:t>organisational</w:t>
            </w:r>
            <w:proofErr w:type="spellEnd"/>
            <w:r w:rsidRPr="003108E1">
              <w:rPr>
                <w:rFonts w:ascii="Calibri" w:hAnsi="Calibri" w:cs="Calibri"/>
                <w:sz w:val="22"/>
                <w:szCs w:val="22"/>
              </w:rPr>
              <w:t xml:space="preserve"> KE capability and capacity, and creating new opportunities </w:t>
            </w:r>
            <w:r w:rsidR="00D1204E">
              <w:rPr>
                <w:rFonts w:ascii="Calibri" w:hAnsi="Calibri" w:cs="Calibri"/>
                <w:sz w:val="22"/>
                <w:szCs w:val="22"/>
              </w:rPr>
              <w:t>for</w:t>
            </w:r>
            <w:r w:rsidR="00D1204E" w:rsidRPr="003108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108E1">
              <w:rPr>
                <w:rFonts w:ascii="Calibri" w:hAnsi="Calibri" w:cs="Calibri"/>
                <w:sz w:val="22"/>
                <w:szCs w:val="22"/>
              </w:rPr>
              <w:t xml:space="preserve">collaboration with external </w:t>
            </w:r>
            <w:proofErr w:type="spellStart"/>
            <w:r w:rsidRPr="003108E1">
              <w:rPr>
                <w:rFonts w:ascii="Calibri" w:hAnsi="Calibri" w:cs="Calibri"/>
                <w:sz w:val="22"/>
                <w:szCs w:val="22"/>
              </w:rPr>
              <w:t>organisations</w:t>
            </w:r>
            <w:proofErr w:type="spellEnd"/>
            <w:r w:rsidRPr="003108E1">
              <w:rPr>
                <w:rFonts w:ascii="Calibri" w:hAnsi="Calibri" w:cs="Calibri"/>
                <w:sz w:val="22"/>
                <w:szCs w:val="22"/>
              </w:rPr>
              <w:t xml:space="preserve">, ensuring </w:t>
            </w:r>
            <w:proofErr w:type="spellStart"/>
            <w:r w:rsidRPr="003108E1">
              <w:rPr>
                <w:rFonts w:ascii="Calibri" w:hAnsi="Calibri" w:cs="Calibri"/>
                <w:sz w:val="22"/>
                <w:szCs w:val="22"/>
              </w:rPr>
              <w:t>complimentarity</w:t>
            </w:r>
            <w:proofErr w:type="spellEnd"/>
            <w:r w:rsidRPr="003108E1">
              <w:rPr>
                <w:rFonts w:ascii="Calibri" w:hAnsi="Calibri" w:cs="Calibri"/>
                <w:sz w:val="22"/>
                <w:szCs w:val="22"/>
              </w:rPr>
              <w:t xml:space="preserve"> with </w:t>
            </w:r>
            <w:r w:rsidR="00D1204E">
              <w:rPr>
                <w:rFonts w:ascii="Calibri" w:hAnsi="Calibri" w:cs="Calibri"/>
                <w:sz w:val="22"/>
                <w:szCs w:val="22"/>
              </w:rPr>
              <w:t xml:space="preserve">any </w:t>
            </w:r>
            <w:r w:rsidRPr="003108E1">
              <w:rPr>
                <w:rFonts w:ascii="Calibri" w:hAnsi="Calibri" w:cs="Calibri"/>
                <w:sz w:val="22"/>
                <w:szCs w:val="22"/>
              </w:rPr>
              <w:t xml:space="preserve">similar </w:t>
            </w:r>
            <w:proofErr w:type="spellStart"/>
            <w:r w:rsidRPr="003108E1">
              <w:rPr>
                <w:rFonts w:ascii="Calibri" w:hAnsi="Calibri" w:cs="Calibri"/>
                <w:sz w:val="22"/>
                <w:szCs w:val="22"/>
              </w:rPr>
              <w:t>programme</w:t>
            </w:r>
            <w:r w:rsidR="00D1204E">
              <w:rPr>
                <w:rFonts w:ascii="Calibri" w:hAnsi="Calibri" w:cs="Calibri"/>
                <w:sz w:val="22"/>
                <w:szCs w:val="22"/>
              </w:rPr>
              <w:t>s</w:t>
            </w:r>
            <w:proofErr w:type="spellEnd"/>
            <w:r w:rsidR="00D1204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108E1">
              <w:rPr>
                <w:rFonts w:ascii="Calibri" w:hAnsi="Calibri" w:cs="Calibri"/>
                <w:sz w:val="22"/>
                <w:szCs w:val="22"/>
              </w:rPr>
              <w:t xml:space="preserve">for Teaching </w:t>
            </w:r>
            <w:r w:rsidR="00D1204E">
              <w:rPr>
                <w:rFonts w:ascii="Calibri" w:hAnsi="Calibri" w:cs="Calibri"/>
                <w:sz w:val="22"/>
                <w:szCs w:val="22"/>
              </w:rPr>
              <w:t>or</w:t>
            </w:r>
            <w:r w:rsidR="00D1204E" w:rsidRPr="003108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108E1">
              <w:rPr>
                <w:rFonts w:ascii="Calibri" w:hAnsi="Calibri" w:cs="Calibri"/>
                <w:sz w:val="22"/>
                <w:szCs w:val="22"/>
              </w:rPr>
              <w:t>Research.</w:t>
            </w:r>
          </w:p>
          <w:p w14:paraId="76833053" w14:textId="05C5502B" w:rsidR="00FD31B5" w:rsidRPr="003108E1" w:rsidRDefault="00FD31B5" w:rsidP="003108E1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Identify, implement and/or manage KE staff development schemes and budgets.</w:t>
            </w:r>
          </w:p>
          <w:p w14:paraId="4CDC8B3E" w14:textId="4AFF3A95" w:rsidR="003108E1" w:rsidRPr="00D1204E" w:rsidRDefault="003108E1" w:rsidP="00D1204E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3108E1">
              <w:rPr>
                <w:rFonts w:ascii="Calibri" w:hAnsi="Calibri" w:cs="Calibri"/>
                <w:sz w:val="22"/>
                <w:szCs w:val="22"/>
              </w:rPr>
              <w:t>Clarify and disseminate guiding principles on KE</w:t>
            </w:r>
            <w:r w:rsidR="00D1204E">
              <w:rPr>
                <w:rFonts w:ascii="Calibri" w:hAnsi="Calibri" w:cs="Calibri"/>
                <w:sz w:val="22"/>
                <w:szCs w:val="22"/>
              </w:rPr>
              <w:t>, and d</w:t>
            </w:r>
            <w:r w:rsidRPr="00D1204E">
              <w:rPr>
                <w:rFonts w:ascii="Calibri" w:hAnsi="Calibri" w:cs="Calibri"/>
                <w:sz w:val="22"/>
                <w:szCs w:val="22"/>
              </w:rPr>
              <w:t>evise and implement a KE Starter Pack</w:t>
            </w:r>
          </w:p>
          <w:p w14:paraId="43D6ABE8" w14:textId="6024E067" w:rsidR="003108E1" w:rsidRPr="003108E1" w:rsidRDefault="003108E1" w:rsidP="003108E1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3108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Contribute to building an </w:t>
            </w:r>
            <w:r w:rsidRPr="003108E1">
              <w:rPr>
                <w:rFonts w:ascii="Calibri" w:hAnsi="Calibri" w:cs="Calibri"/>
                <w:sz w:val="22"/>
                <w:szCs w:val="22"/>
              </w:rPr>
              <w:t>archive of KE case studies</w:t>
            </w:r>
            <w:r w:rsidR="00D1204E">
              <w:rPr>
                <w:rFonts w:ascii="Calibri" w:hAnsi="Calibri" w:cs="Calibri"/>
                <w:sz w:val="22"/>
                <w:szCs w:val="22"/>
              </w:rPr>
              <w:t xml:space="preserve"> to support sharing of good practice</w:t>
            </w:r>
          </w:p>
          <w:p w14:paraId="1D8DA9B7" w14:textId="5AB9927D" w:rsidR="003108E1" w:rsidRPr="0097144C" w:rsidRDefault="00294063" w:rsidP="003108E1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111111"/>
                <w:sz w:val="22"/>
                <w:szCs w:val="22"/>
              </w:rPr>
              <w:t>Regular</w:t>
            </w:r>
            <w:r w:rsidRPr="003108E1">
              <w:rPr>
                <w:rFonts w:ascii="Calibri" w:hAnsi="Calibri" w:cs="Calibri"/>
                <w:color w:val="111111"/>
                <w:sz w:val="22"/>
                <w:szCs w:val="22"/>
              </w:rPr>
              <w:t xml:space="preserve"> </w:t>
            </w:r>
            <w:r w:rsidR="003108E1" w:rsidRPr="003108E1">
              <w:rPr>
                <w:rFonts w:ascii="Calibri" w:hAnsi="Calibri" w:cs="Calibri"/>
                <w:color w:val="111111"/>
                <w:sz w:val="22"/>
                <w:szCs w:val="22"/>
              </w:rPr>
              <w:t xml:space="preserve">review </w:t>
            </w:r>
            <w:r>
              <w:rPr>
                <w:rFonts w:ascii="Calibri" w:hAnsi="Calibri" w:cs="Calibri"/>
                <w:color w:val="111111"/>
                <w:sz w:val="22"/>
                <w:szCs w:val="22"/>
              </w:rPr>
              <w:t xml:space="preserve">of staff feedback, and comparison against similar provision in other HEIs, to support continuous improvement </w:t>
            </w:r>
            <w:r w:rsidR="003108E1" w:rsidRPr="003108E1">
              <w:rPr>
                <w:rFonts w:ascii="Calibri" w:hAnsi="Calibri" w:cs="Calibri"/>
                <w:color w:val="111111"/>
                <w:sz w:val="22"/>
                <w:szCs w:val="22"/>
              </w:rPr>
              <w:t xml:space="preserve">of </w:t>
            </w:r>
            <w:r>
              <w:rPr>
                <w:rFonts w:ascii="Calibri" w:hAnsi="Calibri" w:cs="Calibri"/>
                <w:color w:val="111111"/>
                <w:sz w:val="22"/>
                <w:szCs w:val="22"/>
              </w:rPr>
              <w:t xml:space="preserve">the development </w:t>
            </w:r>
            <w:proofErr w:type="spellStart"/>
            <w:r>
              <w:rPr>
                <w:rFonts w:ascii="Calibri" w:hAnsi="Calibri" w:cs="Calibri"/>
                <w:color w:val="111111"/>
                <w:sz w:val="22"/>
                <w:szCs w:val="22"/>
              </w:rPr>
              <w:t>programme</w:t>
            </w:r>
            <w:proofErr w:type="spellEnd"/>
            <w:r w:rsidR="00FD31B5">
              <w:rPr>
                <w:rFonts w:ascii="Calibri" w:hAnsi="Calibri" w:cs="Calibri"/>
                <w:color w:val="111111"/>
                <w:sz w:val="22"/>
                <w:szCs w:val="22"/>
              </w:rPr>
              <w:t>.</w:t>
            </w:r>
          </w:p>
          <w:p w14:paraId="1C35BCC6" w14:textId="080FBC99" w:rsidR="00FD31B5" w:rsidRPr="003108E1" w:rsidRDefault="00FD31B5" w:rsidP="003108E1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111111"/>
                <w:sz w:val="22"/>
                <w:szCs w:val="22"/>
              </w:rPr>
              <w:t>Contribute to the review and/or development of performance management systems for staff in KE</w:t>
            </w:r>
            <w:r w:rsidRPr="0097144C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related roles, including KPI frameworks, performance criteria, systems for capturing performance data, etc.</w:t>
            </w:r>
          </w:p>
          <w:p w14:paraId="00CDCAC6" w14:textId="0E42AA9C" w:rsidR="00E16BFF" w:rsidRPr="00FD31B5" w:rsidRDefault="003108E1" w:rsidP="0097144C">
            <w:pPr>
              <w:numPr>
                <w:ilvl w:val="0"/>
                <w:numId w:val="7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3108E1">
              <w:rPr>
                <w:rFonts w:ascii="Calibri" w:hAnsi="Calibri" w:cs="Calibri"/>
                <w:sz w:val="22"/>
                <w:szCs w:val="22"/>
              </w:rPr>
              <w:t xml:space="preserve">Explore approaches to accreditation, peer review and staff exchange for professional KE teams (to include focus on international benchmarks and quality standards – incl. </w:t>
            </w:r>
            <w:proofErr w:type="spellStart"/>
            <w:r w:rsidRPr="003108E1">
              <w:rPr>
                <w:rFonts w:ascii="Calibri" w:hAnsi="Calibri" w:cs="Calibri"/>
                <w:sz w:val="22"/>
                <w:szCs w:val="22"/>
              </w:rPr>
              <w:t>PraxisAuril</w:t>
            </w:r>
            <w:proofErr w:type="spellEnd"/>
            <w:r w:rsidRPr="003108E1">
              <w:rPr>
                <w:rFonts w:ascii="Calibri" w:hAnsi="Calibri" w:cs="Calibri"/>
                <w:sz w:val="22"/>
                <w:szCs w:val="22"/>
              </w:rPr>
              <w:t xml:space="preserve"> RTTP)</w:t>
            </w:r>
          </w:p>
          <w:p w14:paraId="53912A93" w14:textId="77777777" w:rsidR="00FD31B5" w:rsidRDefault="00FD31B5" w:rsidP="000B4B43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61F9153" w14:textId="3C16D90A" w:rsidR="00DE696E" w:rsidRPr="00561666" w:rsidRDefault="00DE696E" w:rsidP="000B4B43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61666">
              <w:rPr>
                <w:rFonts w:asciiTheme="minorHAnsi" w:hAnsiTheme="minorHAnsi"/>
                <w:b/>
                <w:sz w:val="22"/>
                <w:szCs w:val="22"/>
              </w:rPr>
              <w:t xml:space="preserve">General </w:t>
            </w:r>
          </w:p>
          <w:p w14:paraId="06FAC21C" w14:textId="09A196A2" w:rsidR="003108E1" w:rsidRPr="00D1204E" w:rsidRDefault="003108E1" w:rsidP="00D1204E">
            <w:pPr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 w:rsidRPr="003108E1">
              <w:rPr>
                <w:rFonts w:ascii="Calibri" w:hAnsi="Calibri" w:cs="Calibri"/>
                <w:sz w:val="22"/>
                <w:szCs w:val="22"/>
              </w:rPr>
              <w:t>Performing such duties consistent with your role as may from time to time be assigned to you anywhere within the University.</w:t>
            </w:r>
          </w:p>
          <w:p w14:paraId="4BF5F9E4" w14:textId="0C47628D" w:rsidR="003108E1" w:rsidRPr="00D1204E" w:rsidRDefault="003108E1" w:rsidP="00D1204E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3108E1">
              <w:rPr>
                <w:rFonts w:ascii="Calibri" w:hAnsi="Calibri" w:cs="Calibri"/>
                <w:sz w:val="22"/>
                <w:szCs w:val="22"/>
              </w:rPr>
              <w:t>Undertaking health and safety duties and responsibilities appropriate to the role.</w:t>
            </w:r>
          </w:p>
          <w:p w14:paraId="7A2FE222" w14:textId="503DC31A" w:rsidR="003108E1" w:rsidRPr="00D1204E" w:rsidRDefault="003108E1" w:rsidP="00D1204E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3108E1">
              <w:rPr>
                <w:rFonts w:ascii="Calibri" w:hAnsi="Calibri" w:cs="Calibri"/>
                <w:sz w:val="22"/>
                <w:szCs w:val="22"/>
              </w:rPr>
              <w:t>Working in accordance with the University’s Equal Opportunities Policy and the Staff Charter, promoting equality and diversity in your work.</w:t>
            </w:r>
          </w:p>
          <w:p w14:paraId="08697B51" w14:textId="586C3B29" w:rsidR="003108E1" w:rsidRPr="00D1204E" w:rsidRDefault="003108E1" w:rsidP="00D1204E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3108E1">
              <w:rPr>
                <w:rFonts w:ascii="Calibri" w:hAnsi="Calibri" w:cs="Calibri"/>
                <w:sz w:val="22"/>
                <w:szCs w:val="22"/>
              </w:rPr>
              <w:t>Personally</w:t>
            </w:r>
            <w:proofErr w:type="gramEnd"/>
            <w:r w:rsidRPr="003108E1">
              <w:rPr>
                <w:rFonts w:ascii="Calibri" w:hAnsi="Calibri" w:cs="Calibri"/>
                <w:sz w:val="22"/>
                <w:szCs w:val="22"/>
              </w:rPr>
              <w:t xml:space="preserve"> contributing towards reducing the university’s impact on the environment and support actions associated with the UAL Sustainability Manifesto (2016 – 2022).</w:t>
            </w:r>
          </w:p>
          <w:p w14:paraId="6587FED5" w14:textId="2D6F1014" w:rsidR="003108E1" w:rsidRPr="00D1204E" w:rsidRDefault="003108E1" w:rsidP="00D1204E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3108E1">
              <w:rPr>
                <w:rFonts w:ascii="Calibri" w:hAnsi="Calibri" w:cs="Calibri"/>
                <w:sz w:val="22"/>
                <w:szCs w:val="22"/>
              </w:rPr>
              <w:t>Undertaking continuous personal and professional development</w:t>
            </w:r>
          </w:p>
          <w:p w14:paraId="455B1609" w14:textId="039F11F3" w:rsidR="003108E1" w:rsidRPr="00D1204E" w:rsidRDefault="003108E1" w:rsidP="00D1204E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3108E1">
              <w:rPr>
                <w:rFonts w:ascii="Calibri" w:hAnsi="Calibri" w:cs="Calibri"/>
                <w:sz w:val="22"/>
                <w:szCs w:val="22"/>
              </w:rPr>
              <w:t xml:space="preserve">Making full use of all information and communication technologies </w:t>
            </w:r>
            <w:r w:rsidRPr="003108E1">
              <w:rPr>
                <w:rFonts w:ascii="Calibri" w:hAnsi="Calibri" w:cs="Calibri"/>
                <w:bCs/>
                <w:sz w:val="22"/>
                <w:szCs w:val="22"/>
              </w:rPr>
              <w:t xml:space="preserve">in adherence to data protection policies </w:t>
            </w:r>
            <w:r w:rsidRPr="003108E1">
              <w:rPr>
                <w:rFonts w:ascii="Calibri" w:hAnsi="Calibri" w:cs="Calibri"/>
                <w:sz w:val="22"/>
                <w:szCs w:val="22"/>
              </w:rPr>
              <w:t xml:space="preserve">to meet the requirements of the role and to promote </w:t>
            </w:r>
            <w:proofErr w:type="spellStart"/>
            <w:r w:rsidRPr="003108E1">
              <w:rPr>
                <w:rFonts w:ascii="Calibri" w:hAnsi="Calibri" w:cs="Calibri"/>
                <w:sz w:val="22"/>
                <w:szCs w:val="22"/>
              </w:rPr>
              <w:t>organisational</w:t>
            </w:r>
            <w:proofErr w:type="spellEnd"/>
            <w:r w:rsidRPr="003108E1">
              <w:rPr>
                <w:rFonts w:ascii="Calibri" w:hAnsi="Calibri" w:cs="Calibri"/>
                <w:sz w:val="22"/>
                <w:szCs w:val="22"/>
              </w:rPr>
              <w:t xml:space="preserve"> effectiveness.</w:t>
            </w:r>
          </w:p>
          <w:p w14:paraId="1B50BBFD" w14:textId="3C9C3D90" w:rsidR="004B7A3D" w:rsidRPr="003108E1" w:rsidRDefault="003108E1" w:rsidP="003108E1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108E1">
              <w:rPr>
                <w:rFonts w:ascii="Calibri" w:hAnsi="Calibri" w:cs="Calibri"/>
                <w:sz w:val="22"/>
                <w:szCs w:val="22"/>
              </w:rPr>
              <w:t>Conducting all financial matters associated with the role in accordance with the University’s policies and procedures, as laid down in the Financial Regulations</w:t>
            </w:r>
          </w:p>
        </w:tc>
      </w:tr>
      <w:tr w:rsidR="00594C01" w:rsidRPr="00C007C8" w14:paraId="55D79092" w14:textId="77777777" w:rsidTr="00150DEB">
        <w:trPr>
          <w:trHeight w:val="406"/>
        </w:trPr>
        <w:tc>
          <w:tcPr>
            <w:tcW w:w="9214" w:type="dxa"/>
            <w:gridSpan w:val="3"/>
          </w:tcPr>
          <w:p w14:paraId="10D433ED" w14:textId="77777777" w:rsidR="00C36210" w:rsidRPr="00561666" w:rsidRDefault="00594C01" w:rsidP="000B4B43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6166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Key Working Relationships</w:t>
            </w:r>
          </w:p>
          <w:p w14:paraId="37D8CBCD" w14:textId="77777777" w:rsidR="00303589" w:rsidRPr="00561666" w:rsidRDefault="00303589" w:rsidP="003035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61666">
              <w:rPr>
                <w:rFonts w:asciiTheme="minorHAnsi" w:hAnsiTheme="minorHAnsi"/>
                <w:b/>
                <w:sz w:val="22"/>
                <w:szCs w:val="22"/>
              </w:rPr>
              <w:t>Internal</w:t>
            </w:r>
          </w:p>
          <w:p w14:paraId="600EDA7A" w14:textId="4C0AD1A1" w:rsidR="005C3BA0" w:rsidRPr="003108E1" w:rsidRDefault="005C3BA0" w:rsidP="00F46DB0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3108E1">
              <w:rPr>
                <w:rFonts w:ascii="Calibri" w:hAnsi="Calibri" w:cs="Calibri"/>
                <w:sz w:val="22"/>
                <w:szCs w:val="22"/>
              </w:rPr>
              <w:t xml:space="preserve">All KE department colleagues – particularly </w:t>
            </w:r>
            <w:r w:rsidR="00303589" w:rsidRPr="003108E1">
              <w:rPr>
                <w:rFonts w:ascii="Calibri" w:hAnsi="Calibri" w:cs="Calibri"/>
                <w:sz w:val="22"/>
                <w:szCs w:val="22"/>
              </w:rPr>
              <w:t xml:space="preserve">Director </w:t>
            </w:r>
            <w:r w:rsidR="00957C45" w:rsidRPr="003108E1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="00303589" w:rsidRPr="003108E1">
              <w:rPr>
                <w:rFonts w:ascii="Calibri" w:hAnsi="Calibri" w:cs="Calibri"/>
                <w:sz w:val="22"/>
                <w:szCs w:val="22"/>
              </w:rPr>
              <w:t>Knowledge Exchange</w:t>
            </w:r>
            <w:r w:rsidRPr="003108E1">
              <w:rPr>
                <w:rFonts w:ascii="Calibri" w:hAnsi="Calibri" w:cs="Calibri"/>
                <w:sz w:val="22"/>
                <w:szCs w:val="22"/>
              </w:rPr>
              <w:t xml:space="preserve"> (line manager;</w:t>
            </w:r>
          </w:p>
          <w:p w14:paraId="130F4F41" w14:textId="7DF2641B" w:rsidR="00303589" w:rsidRPr="003108E1" w:rsidRDefault="00303589" w:rsidP="00F46DB0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3108E1">
              <w:rPr>
                <w:rFonts w:ascii="Calibri" w:hAnsi="Calibri" w:cs="Calibri"/>
                <w:sz w:val="22"/>
                <w:szCs w:val="22"/>
              </w:rPr>
              <w:t xml:space="preserve">College Directors of Business and Innovation, </w:t>
            </w:r>
            <w:r w:rsidR="00561666" w:rsidRPr="003108E1">
              <w:rPr>
                <w:rFonts w:ascii="Calibri" w:hAnsi="Calibri" w:cs="Calibri"/>
                <w:sz w:val="22"/>
                <w:szCs w:val="22"/>
              </w:rPr>
              <w:t xml:space="preserve">College Associate Deans of KE, Chairs of College KE Committees, </w:t>
            </w:r>
            <w:r w:rsidRPr="003108E1">
              <w:rPr>
                <w:rFonts w:ascii="Calibri" w:hAnsi="Calibri" w:cs="Calibri"/>
                <w:sz w:val="22"/>
                <w:szCs w:val="22"/>
              </w:rPr>
              <w:t>Head of Careers and Employability</w:t>
            </w:r>
          </w:p>
          <w:p w14:paraId="302FEB45" w14:textId="51B5B891" w:rsidR="003108E1" w:rsidRPr="003108E1" w:rsidRDefault="00BB0D6D" w:rsidP="003108E1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Director of Research Management, and </w:t>
            </w:r>
            <w:r w:rsidR="00930676" w:rsidRPr="003108E1">
              <w:rPr>
                <w:rFonts w:ascii="Calibri" w:hAnsi="Calibri" w:cs="Calibri"/>
                <w:sz w:val="22"/>
                <w:szCs w:val="22"/>
              </w:rPr>
              <w:t>Research Management &amp; Administration</w:t>
            </w:r>
            <w:r w:rsidR="005C3BA0" w:rsidRPr="003108E1">
              <w:rPr>
                <w:rFonts w:ascii="Calibri" w:hAnsi="Calibri" w:cs="Calibri"/>
                <w:sz w:val="22"/>
                <w:szCs w:val="22"/>
              </w:rPr>
              <w:t xml:space="preserve"> colleagues </w:t>
            </w:r>
          </w:p>
          <w:p w14:paraId="482A0252" w14:textId="15D982E5" w:rsidR="003108E1" w:rsidRPr="003108E1" w:rsidRDefault="00BB0D6D" w:rsidP="003108E1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="00294063">
              <w:rPr>
                <w:rFonts w:ascii="Calibri" w:hAnsi="Calibri" w:cs="Calibri"/>
                <w:sz w:val="22"/>
                <w:szCs w:val="22"/>
              </w:rPr>
              <w:t>olleagues from the Teaching, Learning and Employability Exchange</w:t>
            </w:r>
          </w:p>
          <w:p w14:paraId="3400767E" w14:textId="77777777" w:rsidR="00561666" w:rsidRPr="003108E1" w:rsidRDefault="00303589" w:rsidP="00561666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3108E1">
              <w:rPr>
                <w:rFonts w:ascii="Calibri" w:hAnsi="Calibri" w:cs="Calibri"/>
                <w:sz w:val="22"/>
                <w:szCs w:val="22"/>
              </w:rPr>
              <w:t>Staff working on</w:t>
            </w:r>
            <w:r w:rsidR="005C3BA0" w:rsidRPr="003108E1">
              <w:rPr>
                <w:rFonts w:ascii="Calibri" w:hAnsi="Calibri" w:cs="Calibri"/>
                <w:sz w:val="22"/>
                <w:szCs w:val="22"/>
              </w:rPr>
              <w:t>/supporting</w:t>
            </w:r>
            <w:r w:rsidRPr="003108E1">
              <w:rPr>
                <w:rFonts w:ascii="Calibri" w:hAnsi="Calibri" w:cs="Calibri"/>
                <w:sz w:val="22"/>
                <w:szCs w:val="22"/>
              </w:rPr>
              <w:t xml:space="preserve"> KE-related activities across UAL</w:t>
            </w:r>
          </w:p>
          <w:p w14:paraId="6BE7528E" w14:textId="77777777" w:rsidR="003803C8" w:rsidRDefault="00561666" w:rsidP="003803C8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3108E1">
              <w:rPr>
                <w:rFonts w:ascii="Calibri" w:hAnsi="Calibri" w:cs="Calibri"/>
                <w:sz w:val="22"/>
                <w:szCs w:val="22"/>
              </w:rPr>
              <w:t>Colleagues working across Academic Development &amp; Services</w:t>
            </w:r>
          </w:p>
          <w:p w14:paraId="37ED983F" w14:textId="3D61A05B" w:rsidR="003803C8" w:rsidRPr="003803C8" w:rsidRDefault="003803C8" w:rsidP="003803C8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803C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HR Organi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</w:t>
            </w:r>
            <w:r w:rsidRPr="003803C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ational Development Team</w:t>
            </w:r>
          </w:p>
          <w:p w14:paraId="3AD84417" w14:textId="547F500D" w:rsidR="003108E1" w:rsidRPr="00FD31B5" w:rsidRDefault="003803C8" w:rsidP="0097144C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3803C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UAL Staff Development Steering Group</w:t>
            </w:r>
          </w:p>
          <w:p w14:paraId="0C5A2033" w14:textId="77777777" w:rsidR="00303589" w:rsidRPr="00561666" w:rsidRDefault="00303589" w:rsidP="003035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61666">
              <w:rPr>
                <w:rFonts w:asciiTheme="minorHAnsi" w:hAnsiTheme="minorHAnsi" w:cs="Arial"/>
                <w:b/>
                <w:sz w:val="22"/>
                <w:szCs w:val="22"/>
              </w:rPr>
              <w:t>External</w:t>
            </w:r>
          </w:p>
          <w:p w14:paraId="1528B5EA" w14:textId="61F0A0E3" w:rsidR="00456512" w:rsidRPr="00561666" w:rsidRDefault="0090651A" w:rsidP="00F46DB0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61666">
              <w:rPr>
                <w:rFonts w:asciiTheme="minorHAnsi" w:hAnsiTheme="minorHAnsi" w:cs="Arial"/>
                <w:sz w:val="22"/>
                <w:szCs w:val="22"/>
              </w:rPr>
              <w:t>Key contacts at other HEIs, professional bodies, government agencies and/or departments, funding bodies, etc.</w:t>
            </w:r>
          </w:p>
        </w:tc>
      </w:tr>
      <w:tr w:rsidR="00594C01" w:rsidRPr="00C007C8" w14:paraId="2D5046F5" w14:textId="77777777" w:rsidTr="000C0840">
        <w:tc>
          <w:tcPr>
            <w:tcW w:w="9214" w:type="dxa"/>
            <w:gridSpan w:val="3"/>
          </w:tcPr>
          <w:p w14:paraId="49D22494" w14:textId="77777777" w:rsidR="00594C01" w:rsidRPr="00561666" w:rsidRDefault="00594C01" w:rsidP="000B4B43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61666">
              <w:rPr>
                <w:rFonts w:asciiTheme="minorHAnsi" w:hAnsiTheme="minorHAnsi"/>
                <w:b/>
                <w:sz w:val="22"/>
                <w:szCs w:val="22"/>
              </w:rPr>
              <w:t>Specific Management Responsibilities</w:t>
            </w:r>
          </w:p>
          <w:p w14:paraId="1DD21F0E" w14:textId="32A68826" w:rsidR="00594C01" w:rsidRPr="00561666" w:rsidRDefault="00594C01" w:rsidP="00C007C8">
            <w:pPr>
              <w:rPr>
                <w:rFonts w:asciiTheme="minorHAnsi" w:hAnsiTheme="minorHAnsi"/>
                <w:sz w:val="22"/>
                <w:szCs w:val="22"/>
              </w:rPr>
            </w:pPr>
            <w:r w:rsidRPr="00561666">
              <w:rPr>
                <w:rFonts w:asciiTheme="minorHAnsi" w:hAnsiTheme="minorHAnsi"/>
                <w:sz w:val="22"/>
                <w:szCs w:val="22"/>
              </w:rPr>
              <w:t>Budgets</w:t>
            </w:r>
            <w:r w:rsidR="00561666" w:rsidRPr="00561666">
              <w:rPr>
                <w:rFonts w:asciiTheme="minorHAnsi" w:hAnsiTheme="minorHAnsi"/>
                <w:sz w:val="22"/>
                <w:szCs w:val="22"/>
              </w:rPr>
              <w:t>:</w:t>
            </w:r>
            <w:r w:rsidR="00303589" w:rsidRPr="00561666">
              <w:rPr>
                <w:rFonts w:asciiTheme="minorHAnsi" w:hAnsiTheme="minorHAnsi"/>
                <w:sz w:val="22"/>
                <w:szCs w:val="22"/>
              </w:rPr>
              <w:t xml:space="preserve"> KE</w:t>
            </w:r>
            <w:r w:rsidR="00561666" w:rsidRPr="005616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94063">
              <w:rPr>
                <w:rFonts w:asciiTheme="minorHAnsi" w:hAnsiTheme="minorHAnsi"/>
                <w:sz w:val="22"/>
                <w:szCs w:val="22"/>
              </w:rPr>
              <w:t>staff development budget</w:t>
            </w:r>
          </w:p>
          <w:p w14:paraId="20FE1509" w14:textId="0E98472C" w:rsidR="00594C01" w:rsidRPr="00561666" w:rsidRDefault="00594C01" w:rsidP="00303589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  <w:r w:rsidRPr="00561666">
              <w:rPr>
                <w:rFonts w:asciiTheme="minorHAnsi" w:hAnsiTheme="minorHAnsi"/>
                <w:sz w:val="22"/>
                <w:szCs w:val="22"/>
              </w:rPr>
              <w:t>Staff:</w:t>
            </w:r>
            <w:r w:rsidR="00B26E52" w:rsidRPr="005616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1666" w:rsidRPr="00561666">
              <w:rPr>
                <w:rFonts w:asciiTheme="minorHAnsi" w:hAnsiTheme="minorHAnsi"/>
                <w:sz w:val="22"/>
                <w:szCs w:val="22"/>
              </w:rPr>
              <w:t>None</w:t>
            </w:r>
          </w:p>
          <w:p w14:paraId="4E79AF8B" w14:textId="39C1E1F6" w:rsidR="000B4B43" w:rsidRPr="00561666" w:rsidRDefault="00594C01" w:rsidP="00C007C8">
            <w:pPr>
              <w:rPr>
                <w:rFonts w:asciiTheme="minorHAnsi" w:hAnsiTheme="minorHAnsi"/>
                <w:sz w:val="22"/>
                <w:szCs w:val="22"/>
              </w:rPr>
            </w:pPr>
            <w:r w:rsidRPr="00561666">
              <w:rPr>
                <w:rFonts w:asciiTheme="minorHAnsi" w:hAnsiTheme="minorHAnsi"/>
                <w:sz w:val="22"/>
                <w:szCs w:val="22"/>
              </w:rPr>
              <w:t>Other (e.g. accommodation; equipment):</w:t>
            </w:r>
            <w:r w:rsidR="006F53E4" w:rsidRPr="0056166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65DF5D32" w14:textId="4B6BE399" w:rsidR="001C6D22" w:rsidRPr="00561666" w:rsidRDefault="00FD31B5" w:rsidP="0097144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C2F78" w:rsidRPr="00561666">
        <w:rPr>
          <w:rFonts w:asciiTheme="minorHAnsi" w:hAnsiTheme="minorHAnsi"/>
          <w:sz w:val="22"/>
          <w:szCs w:val="22"/>
        </w:rPr>
        <w:t>Last updated</w:t>
      </w:r>
      <w:r w:rsidR="00C007C8" w:rsidRPr="00561666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12</w:t>
      </w:r>
      <w:r w:rsidRPr="0097144C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October</w:t>
      </w:r>
      <w:r w:rsidR="00303589" w:rsidRPr="00561666">
        <w:rPr>
          <w:rFonts w:asciiTheme="minorHAnsi" w:hAnsiTheme="minorHAnsi"/>
          <w:sz w:val="22"/>
          <w:szCs w:val="22"/>
        </w:rPr>
        <w:t xml:space="preserve"> 20</w:t>
      </w:r>
      <w:r>
        <w:rPr>
          <w:rFonts w:asciiTheme="minorHAnsi" w:hAnsiTheme="minorHAnsi"/>
          <w:sz w:val="22"/>
          <w:szCs w:val="22"/>
        </w:rPr>
        <w:t>20</w:t>
      </w:r>
    </w:p>
    <w:p w14:paraId="7BC2D6F8" w14:textId="77777777" w:rsidR="00294063" w:rsidRDefault="00294063" w:rsidP="003108E1">
      <w:pPr>
        <w:spacing w:line="276" w:lineRule="auto"/>
        <w:rPr>
          <w:rFonts w:ascii="Arial" w:hAnsi="Arial" w:cs="Arial"/>
          <w:b/>
          <w:szCs w:val="22"/>
        </w:rPr>
      </w:pPr>
    </w:p>
    <w:p w14:paraId="392119AF" w14:textId="5E067122" w:rsidR="003108E1" w:rsidRPr="007A063C" w:rsidRDefault="003108E1" w:rsidP="003108E1">
      <w:pPr>
        <w:spacing w:line="276" w:lineRule="auto"/>
        <w:rPr>
          <w:rFonts w:ascii="Arial" w:hAnsi="Arial" w:cs="Arial"/>
          <w:b/>
          <w:szCs w:val="22"/>
        </w:rPr>
      </w:pPr>
      <w:r w:rsidRPr="007A063C">
        <w:rPr>
          <w:rFonts w:ascii="Arial" w:hAnsi="Arial" w:cs="Arial"/>
          <w:b/>
          <w:szCs w:val="22"/>
        </w:rPr>
        <w:lastRenderedPageBreak/>
        <w:t xml:space="preserve">Job Title: </w:t>
      </w:r>
      <w:r>
        <w:rPr>
          <w:rFonts w:ascii="Arial" w:hAnsi="Arial" w:cs="Arial"/>
          <w:b/>
          <w:szCs w:val="22"/>
        </w:rPr>
        <w:t xml:space="preserve">Knowledge Exchange </w:t>
      </w:r>
      <w:r w:rsidR="00294063">
        <w:rPr>
          <w:rFonts w:ascii="Arial" w:hAnsi="Arial" w:cs="Arial"/>
          <w:b/>
          <w:szCs w:val="22"/>
        </w:rPr>
        <w:t>Staff Development Lead</w:t>
      </w:r>
      <w:r w:rsidRPr="007A063C">
        <w:rPr>
          <w:rFonts w:ascii="Arial" w:hAnsi="Arial" w:cs="Arial"/>
          <w:b/>
          <w:szCs w:val="22"/>
        </w:rPr>
        <w:tab/>
      </w:r>
      <w:r w:rsidRPr="007A063C">
        <w:rPr>
          <w:rFonts w:ascii="Arial" w:hAnsi="Arial" w:cs="Arial"/>
          <w:b/>
          <w:szCs w:val="22"/>
        </w:rPr>
        <w:tab/>
        <w:t xml:space="preserve"> Grade: </w:t>
      </w:r>
      <w:r w:rsidRPr="004E58DF">
        <w:rPr>
          <w:rFonts w:ascii="Arial" w:hAnsi="Arial" w:cs="Arial"/>
          <w:b/>
          <w:szCs w:val="22"/>
        </w:rPr>
        <w:t>6</w:t>
      </w:r>
    </w:p>
    <w:p w14:paraId="45E32AF6" w14:textId="2C6C3FE3" w:rsidR="003108E1" w:rsidRDefault="003108E1" w:rsidP="003108E1">
      <w:pPr>
        <w:spacing w:line="276" w:lineRule="auto"/>
        <w:rPr>
          <w:rFonts w:ascii="Arial" w:hAnsi="Arial" w:cs="Arial"/>
          <w:b/>
          <w:szCs w:val="22"/>
        </w:rPr>
      </w:pPr>
      <w:r w:rsidRPr="007A063C">
        <w:rPr>
          <w:rFonts w:ascii="Arial" w:hAnsi="Arial" w:cs="Arial"/>
          <w:b/>
          <w:szCs w:val="22"/>
        </w:rPr>
        <w:t>(Qualities are essential unless shown as desirable)</w:t>
      </w:r>
    </w:p>
    <w:p w14:paraId="4FDBA43B" w14:textId="5285BF80" w:rsidR="00A476E6" w:rsidRDefault="00A476E6" w:rsidP="003108E1">
      <w:pPr>
        <w:spacing w:line="276" w:lineRule="auto"/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5"/>
        <w:gridCol w:w="5261"/>
      </w:tblGrid>
      <w:tr w:rsidR="00A476E6" w:rsidRPr="005D7A28" w14:paraId="45133DCA" w14:textId="77777777" w:rsidTr="00F821F8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  <w:vAlign w:val="center"/>
          </w:tcPr>
          <w:p w14:paraId="4C02F2F6" w14:textId="77777777" w:rsidR="00A476E6" w:rsidRDefault="00A476E6" w:rsidP="00F821F8">
            <w:pPr>
              <w:jc w:val="center"/>
              <w:rPr>
                <w:rFonts w:ascii="Calibri" w:hAnsi="Calibri" w:cs="Arial"/>
                <w:b/>
              </w:rPr>
            </w:pPr>
            <w:r w:rsidRPr="00815AAD">
              <w:rPr>
                <w:rFonts w:ascii="Calibri" w:hAnsi="Calibri" w:cs="Arial"/>
                <w:b/>
              </w:rPr>
              <w:t>PERSON SPECIFICATION</w:t>
            </w:r>
          </w:p>
          <w:p w14:paraId="282F9927" w14:textId="77777777" w:rsidR="00A476E6" w:rsidRPr="00815AAD" w:rsidRDefault="00A476E6" w:rsidP="00F821F8">
            <w:pPr>
              <w:jc w:val="center"/>
              <w:rPr>
                <w:rFonts w:ascii="Calibri" w:hAnsi="Calibri" w:cs="Arial"/>
                <w:b/>
                <w:color w:val="262626" w:themeColor="text1" w:themeTint="D9"/>
              </w:rPr>
            </w:pPr>
          </w:p>
        </w:tc>
      </w:tr>
      <w:tr w:rsidR="00B52834" w:rsidRPr="005D7A28" w14:paraId="3FE58BFE" w14:textId="77777777" w:rsidTr="00F821F8">
        <w:tc>
          <w:tcPr>
            <w:tcW w:w="3794" w:type="dxa"/>
          </w:tcPr>
          <w:p w14:paraId="0E36594F" w14:textId="77777777" w:rsidR="00A476E6" w:rsidRPr="005D7A28" w:rsidRDefault="00A476E6" w:rsidP="00F821F8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Specialist Knowledge/Qualifications</w:t>
            </w:r>
          </w:p>
        </w:tc>
        <w:tc>
          <w:tcPr>
            <w:tcW w:w="5386" w:type="dxa"/>
          </w:tcPr>
          <w:p w14:paraId="09ED7697" w14:textId="5C165926" w:rsidR="005E6079" w:rsidRDefault="005E6079" w:rsidP="005E60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6079">
              <w:rPr>
                <w:rFonts w:ascii="Arial" w:hAnsi="Arial" w:cs="Arial"/>
                <w:color w:val="000000" w:themeColor="text1"/>
                <w:sz w:val="20"/>
                <w:szCs w:val="20"/>
              </w:rPr>
              <w:t>A strong working knowledge of contemporary approaches to Development and Training</w:t>
            </w:r>
          </w:p>
          <w:p w14:paraId="4A9C993C" w14:textId="77777777" w:rsidR="003A0BB9" w:rsidRDefault="003A0BB9" w:rsidP="005E60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0D13F66" w14:textId="5D696E74" w:rsidR="003A0BB9" w:rsidRDefault="003A0BB9" w:rsidP="005E60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 understanding of the skills and competencies required for research and knowledge exchange in an HE environment. </w:t>
            </w:r>
            <w:bookmarkStart w:id="0" w:name="_GoBack"/>
            <w:bookmarkEnd w:id="0"/>
          </w:p>
          <w:p w14:paraId="3D3BA5D4" w14:textId="77777777" w:rsidR="00A476E6" w:rsidRPr="00303589" w:rsidRDefault="00A476E6" w:rsidP="00BB0D6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52834" w:rsidRPr="005D7A28" w14:paraId="3396A209" w14:textId="77777777" w:rsidTr="00F821F8">
        <w:tc>
          <w:tcPr>
            <w:tcW w:w="3794" w:type="dxa"/>
          </w:tcPr>
          <w:p w14:paraId="5296498E" w14:textId="77777777" w:rsidR="00A476E6" w:rsidRPr="005D7A28" w:rsidRDefault="00A476E6" w:rsidP="00F821F8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Relevant Experience</w:t>
            </w:r>
          </w:p>
        </w:tc>
        <w:tc>
          <w:tcPr>
            <w:tcW w:w="5386" w:type="dxa"/>
          </w:tcPr>
          <w:p w14:paraId="50153BC6" w14:textId="531B497B" w:rsidR="00B52834" w:rsidRDefault="00B52834" w:rsidP="00F821F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Experience of designing a strategic and integrated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of staff development, events and communications to build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organisational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capacity, and facilitate culture change.</w:t>
            </w:r>
          </w:p>
          <w:p w14:paraId="58DECCB2" w14:textId="765FC0C5" w:rsidR="00BB0D6D" w:rsidRDefault="00BB0D6D" w:rsidP="00F821F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2734C49" w14:textId="5838E070" w:rsidR="00BB0D6D" w:rsidRDefault="00BB0D6D" w:rsidP="00F821F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Experience of successfully delivering an online staff development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across a large organization.</w:t>
            </w:r>
          </w:p>
          <w:p w14:paraId="0D6E1A54" w14:textId="77777777" w:rsidR="00B52834" w:rsidRDefault="00B52834" w:rsidP="00F821F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8D9C1D6" w14:textId="23C6671A" w:rsidR="00A476E6" w:rsidRPr="00303589" w:rsidRDefault="00A476E6" w:rsidP="00F821F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</w:t>
            </w:r>
            <w:r w:rsidR="00666ED1">
              <w:rPr>
                <w:rFonts w:ascii="Arial" w:eastAsia="Calibri" w:hAnsi="Arial" w:cs="Arial"/>
                <w:sz w:val="20"/>
                <w:szCs w:val="20"/>
              </w:rPr>
              <w:t xml:space="preserve"> of supporting development of academic and non-academic staff, ideally within an HE environment.</w:t>
            </w:r>
          </w:p>
          <w:p w14:paraId="183BEF04" w14:textId="77777777" w:rsidR="00A476E6" w:rsidRDefault="00A476E6" w:rsidP="00F821F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EDFD57" w14:textId="4C5D934E" w:rsidR="00A476E6" w:rsidRDefault="00A476E6" w:rsidP="00F821F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03589">
              <w:rPr>
                <w:rFonts w:ascii="Arial" w:eastAsia="Calibri" w:hAnsi="Arial" w:cs="Arial"/>
                <w:sz w:val="20"/>
                <w:szCs w:val="20"/>
              </w:rPr>
              <w:t>Experience of managing consultants and other sub-contractors in timely delivery of project work.</w:t>
            </w:r>
          </w:p>
          <w:p w14:paraId="3CE8F3CC" w14:textId="000E7D2A" w:rsidR="00B52834" w:rsidRDefault="00B52834" w:rsidP="00F821F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C92FCE0" w14:textId="71A04814" w:rsidR="005E6079" w:rsidRDefault="005E6079" w:rsidP="005E607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of evaluation.</w:t>
            </w:r>
          </w:p>
          <w:p w14:paraId="1A94B920" w14:textId="77777777" w:rsidR="005E6079" w:rsidRDefault="005E6079" w:rsidP="00F821F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3F83F44" w14:textId="05072F5D" w:rsidR="00A476E6" w:rsidRPr="007128A1" w:rsidRDefault="00B52834" w:rsidP="00F821F8">
            <w:pPr>
              <w:rPr>
                <w:rFonts w:ascii="Calibri" w:hAnsi="Calibri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of mentoring/coaching.</w:t>
            </w:r>
          </w:p>
        </w:tc>
      </w:tr>
      <w:tr w:rsidR="00B52834" w:rsidRPr="005D7A28" w14:paraId="00206DC8" w14:textId="77777777" w:rsidTr="00F821F8">
        <w:tc>
          <w:tcPr>
            <w:tcW w:w="3794" w:type="dxa"/>
            <w:vAlign w:val="center"/>
          </w:tcPr>
          <w:p w14:paraId="3EFF11FE" w14:textId="77777777" w:rsidR="00A476E6" w:rsidRPr="005D7A28" w:rsidRDefault="00A476E6" w:rsidP="00F821F8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Communica</w:t>
            </w:r>
            <w:r>
              <w:rPr>
                <w:rFonts w:ascii="Calibri" w:hAnsi="Calibri" w:cs="Arial"/>
              </w:rPr>
              <w:t>t</w:t>
            </w:r>
            <w:r w:rsidRPr="005D7A28">
              <w:rPr>
                <w:rFonts w:ascii="Calibri" w:hAnsi="Calibri" w:cs="Arial"/>
              </w:rPr>
              <w:t>ion Skills</w:t>
            </w:r>
          </w:p>
        </w:tc>
        <w:tc>
          <w:tcPr>
            <w:tcW w:w="5386" w:type="dxa"/>
          </w:tcPr>
          <w:p w14:paraId="5A621EFB" w14:textId="77777777" w:rsidR="00A476E6" w:rsidRPr="008D537C" w:rsidRDefault="00A476E6" w:rsidP="00F821F8">
            <w:pPr>
              <w:rPr>
                <w:rFonts w:ascii="Arial" w:hAnsi="Arial" w:cs="Arial"/>
                <w:sz w:val="20"/>
                <w:szCs w:val="20"/>
              </w:rPr>
            </w:pPr>
            <w:r w:rsidRPr="003525FF">
              <w:rPr>
                <w:rFonts w:ascii="Arial" w:hAnsi="Arial" w:cs="Arial"/>
                <w:color w:val="000000"/>
                <w:sz w:val="20"/>
                <w:szCs w:val="20"/>
              </w:rPr>
              <w:t>Communicates effectively orally and in writing adapting the message for a diverse audience in an inclusive and accessible way</w:t>
            </w:r>
          </w:p>
        </w:tc>
      </w:tr>
      <w:tr w:rsidR="00B52834" w:rsidRPr="005D7A28" w14:paraId="08F42651" w14:textId="77777777" w:rsidTr="00F821F8">
        <w:tc>
          <w:tcPr>
            <w:tcW w:w="3794" w:type="dxa"/>
            <w:vAlign w:val="center"/>
          </w:tcPr>
          <w:p w14:paraId="426D8A2A" w14:textId="77777777" w:rsidR="00A476E6" w:rsidRPr="005D7A28" w:rsidRDefault="00A476E6" w:rsidP="00F821F8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Leadership and Management</w:t>
            </w:r>
          </w:p>
        </w:tc>
        <w:tc>
          <w:tcPr>
            <w:tcW w:w="5386" w:type="dxa"/>
          </w:tcPr>
          <w:p w14:paraId="2599B322" w14:textId="08C1A286" w:rsidR="00B52834" w:rsidRPr="00D03920" w:rsidRDefault="00B52834" w:rsidP="00D0392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920">
              <w:rPr>
                <w:rFonts w:ascii="Arial" w:hAnsi="Arial" w:cs="Arial"/>
                <w:color w:val="000000"/>
                <w:sz w:val="20"/>
                <w:szCs w:val="20"/>
              </w:rPr>
              <w:t>Motivates academic and senior staff to engage with educational development initiatives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479565A5" w14:textId="77777777" w:rsidR="00B52834" w:rsidRDefault="00B52834" w:rsidP="00B52834">
            <w:pPr>
              <w:contextualSpacing/>
              <w:rPr>
                <w:rFonts w:ascii="Arial" w:hAnsi="Arial" w:cs="Arial"/>
                <w:color w:val="000000"/>
              </w:rPr>
            </w:pPr>
          </w:p>
          <w:p w14:paraId="7F5A3C74" w14:textId="7FB0C0E6" w:rsidR="00B52834" w:rsidRPr="008D537C" w:rsidRDefault="00B52834" w:rsidP="00F821F8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D03920">
              <w:rPr>
                <w:rFonts w:ascii="Arial" w:hAnsi="Arial" w:cs="Arial"/>
                <w:color w:val="000000"/>
                <w:sz w:val="20"/>
                <w:szCs w:val="20"/>
              </w:rPr>
              <w:t xml:space="preserve">Applies innovative approaches to their leadership role to support excellent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research, knowledge exchange </w:t>
            </w:r>
            <w:r w:rsidRPr="00D03920">
              <w:rPr>
                <w:rFonts w:ascii="Arial" w:hAnsi="Arial" w:cs="Arial"/>
                <w:color w:val="000000"/>
                <w:sz w:val="20"/>
                <w:szCs w:val="20"/>
              </w:rPr>
              <w:t xml:space="preserve">and </w:t>
            </w:r>
            <w:proofErr w:type="spellStart"/>
            <w:r w:rsidRPr="00D03920">
              <w:rPr>
                <w:rFonts w:ascii="Arial" w:hAnsi="Arial" w:cs="Arial"/>
                <w:color w:val="000000"/>
                <w:sz w:val="20"/>
                <w:szCs w:val="20"/>
              </w:rPr>
              <w:t>inclusivity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is able to influence at senior levels.</w:t>
            </w:r>
          </w:p>
        </w:tc>
      </w:tr>
      <w:tr w:rsidR="00B52834" w:rsidRPr="005D7A28" w14:paraId="1E33D261" w14:textId="77777777" w:rsidTr="00F821F8">
        <w:tc>
          <w:tcPr>
            <w:tcW w:w="3794" w:type="dxa"/>
            <w:vAlign w:val="center"/>
          </w:tcPr>
          <w:p w14:paraId="5983E451" w14:textId="77777777" w:rsidR="00A476E6" w:rsidRPr="005D7A28" w:rsidRDefault="00A476E6" w:rsidP="00F821F8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 xml:space="preserve">Professional Practice </w:t>
            </w:r>
          </w:p>
        </w:tc>
        <w:tc>
          <w:tcPr>
            <w:tcW w:w="5386" w:type="dxa"/>
          </w:tcPr>
          <w:p w14:paraId="33DAD370" w14:textId="77777777" w:rsidR="00A476E6" w:rsidRPr="008D537C" w:rsidRDefault="00A476E6" w:rsidP="00F821F8">
            <w:pPr>
              <w:rPr>
                <w:rFonts w:ascii="Arial" w:hAnsi="Arial" w:cs="Arial"/>
                <w:sz w:val="20"/>
                <w:szCs w:val="20"/>
              </w:rPr>
            </w:pPr>
            <w:r w:rsidRPr="003525FF">
              <w:rPr>
                <w:rFonts w:ascii="Arial" w:hAnsi="Arial" w:cs="Arial"/>
                <w:color w:val="000000"/>
                <w:sz w:val="20"/>
                <w:szCs w:val="20"/>
              </w:rPr>
              <w:t>Contributes to advancing professional practice/research or scholarly activity in own area of specialism</w:t>
            </w:r>
          </w:p>
        </w:tc>
      </w:tr>
      <w:tr w:rsidR="00B52834" w:rsidRPr="005D7A28" w14:paraId="5C39CE22" w14:textId="77777777" w:rsidTr="00F821F8">
        <w:tc>
          <w:tcPr>
            <w:tcW w:w="3794" w:type="dxa"/>
            <w:vAlign w:val="center"/>
          </w:tcPr>
          <w:p w14:paraId="0CD80E19" w14:textId="77777777" w:rsidR="00A476E6" w:rsidRPr="005D7A28" w:rsidRDefault="00A476E6" w:rsidP="00F821F8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Planning and Managing Resources</w:t>
            </w:r>
          </w:p>
        </w:tc>
        <w:tc>
          <w:tcPr>
            <w:tcW w:w="5386" w:type="dxa"/>
          </w:tcPr>
          <w:p w14:paraId="57A187F5" w14:textId="77777777" w:rsidR="00A476E6" w:rsidRPr="008D537C" w:rsidRDefault="00A476E6" w:rsidP="00F821F8">
            <w:pPr>
              <w:rPr>
                <w:rFonts w:ascii="Arial" w:hAnsi="Arial" w:cs="Arial"/>
                <w:sz w:val="20"/>
                <w:szCs w:val="20"/>
              </w:rPr>
            </w:pPr>
            <w:r w:rsidRPr="003525FF">
              <w:rPr>
                <w:rFonts w:ascii="Arial" w:hAnsi="Arial" w:cs="Arial"/>
                <w:color w:val="000000"/>
                <w:sz w:val="20"/>
                <w:szCs w:val="20"/>
              </w:rPr>
              <w:t xml:space="preserve">Plans, </w:t>
            </w:r>
            <w:proofErr w:type="spellStart"/>
            <w:r w:rsidRPr="003525FF">
              <w:rPr>
                <w:rFonts w:ascii="Arial" w:hAnsi="Arial" w:cs="Arial"/>
                <w:color w:val="000000"/>
                <w:sz w:val="20"/>
                <w:szCs w:val="20"/>
              </w:rPr>
              <w:t>prioritises</w:t>
            </w:r>
            <w:proofErr w:type="spellEnd"/>
            <w:r w:rsidRPr="003525FF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manages resources effectively to achieve long term objectives</w:t>
            </w:r>
          </w:p>
        </w:tc>
      </w:tr>
      <w:tr w:rsidR="00B52834" w:rsidRPr="005D7A28" w14:paraId="09FFA221" w14:textId="77777777" w:rsidTr="00F821F8">
        <w:tc>
          <w:tcPr>
            <w:tcW w:w="3794" w:type="dxa"/>
            <w:vAlign w:val="center"/>
          </w:tcPr>
          <w:p w14:paraId="20F80907" w14:textId="77777777" w:rsidR="00A476E6" w:rsidRPr="005D7A28" w:rsidRDefault="00A476E6" w:rsidP="00F821F8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Teamwork</w:t>
            </w:r>
          </w:p>
        </w:tc>
        <w:tc>
          <w:tcPr>
            <w:tcW w:w="5386" w:type="dxa"/>
            <w:vAlign w:val="center"/>
          </w:tcPr>
          <w:p w14:paraId="2C392CAA" w14:textId="63EE2639" w:rsidR="00B52834" w:rsidRPr="00D03920" w:rsidRDefault="00B52834" w:rsidP="00F821F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03920">
              <w:rPr>
                <w:rFonts w:ascii="Arial" w:hAnsi="Arial" w:cs="Arial"/>
                <w:color w:val="000000"/>
                <w:sz w:val="20"/>
                <w:szCs w:val="20"/>
              </w:rPr>
              <w:t xml:space="preserve">Builds professional networks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internally and externally </w:t>
            </w:r>
            <w:r w:rsidRPr="00D03920">
              <w:rPr>
                <w:rFonts w:ascii="Arial" w:hAnsi="Arial" w:cs="Arial"/>
                <w:color w:val="000000"/>
                <w:sz w:val="20"/>
                <w:szCs w:val="20"/>
              </w:rPr>
              <w:t>and fosters constructive cross-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departmental</w:t>
            </w:r>
            <w:r w:rsidRPr="00D039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and inter-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organisational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03920">
              <w:rPr>
                <w:rFonts w:ascii="Arial" w:hAnsi="Arial" w:cs="Arial"/>
                <w:color w:val="000000"/>
                <w:sz w:val="20"/>
                <w:szCs w:val="20"/>
              </w:rPr>
              <w:t>collaboration.</w:t>
            </w:r>
          </w:p>
          <w:p w14:paraId="6F4EB458" w14:textId="77777777" w:rsidR="00B52834" w:rsidRDefault="00B52834" w:rsidP="00F82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82795D" w14:textId="364DE240" w:rsidR="00A476E6" w:rsidRPr="00303589" w:rsidRDefault="00A476E6" w:rsidP="00F82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89">
              <w:rPr>
                <w:rFonts w:ascii="Arial" w:hAnsi="Arial" w:cs="Arial"/>
                <w:color w:val="000000"/>
                <w:sz w:val="20"/>
                <w:szCs w:val="20"/>
              </w:rPr>
              <w:t>Works collaboratively in a team and where appropriate across or with different professional groups</w:t>
            </w:r>
          </w:p>
        </w:tc>
      </w:tr>
      <w:tr w:rsidR="00B52834" w:rsidRPr="005D7A28" w14:paraId="10552637" w14:textId="77777777" w:rsidTr="00F821F8">
        <w:tc>
          <w:tcPr>
            <w:tcW w:w="3794" w:type="dxa"/>
            <w:vAlign w:val="center"/>
          </w:tcPr>
          <w:p w14:paraId="0A7EDD2E" w14:textId="77777777" w:rsidR="00A476E6" w:rsidRPr="005D7A28" w:rsidRDefault="00A476E6" w:rsidP="00F821F8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Creativity,</w:t>
            </w:r>
            <w:r>
              <w:rPr>
                <w:rFonts w:ascii="Calibri" w:hAnsi="Calibri" w:cs="Arial"/>
              </w:rPr>
              <w:t xml:space="preserve"> Innovation and Problem Solving</w:t>
            </w:r>
          </w:p>
        </w:tc>
        <w:tc>
          <w:tcPr>
            <w:tcW w:w="5386" w:type="dxa"/>
            <w:vAlign w:val="center"/>
          </w:tcPr>
          <w:p w14:paraId="3FF7F21F" w14:textId="77777777" w:rsidR="00A476E6" w:rsidRPr="00303589" w:rsidRDefault="00A476E6" w:rsidP="00F82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89">
              <w:rPr>
                <w:rFonts w:ascii="Arial" w:hAnsi="Arial" w:cs="Arial"/>
                <w:color w:val="000000"/>
                <w:sz w:val="20"/>
                <w:szCs w:val="20"/>
              </w:rPr>
              <w:t>Suggests practical solutions to new or unique problems</w:t>
            </w:r>
          </w:p>
        </w:tc>
      </w:tr>
    </w:tbl>
    <w:p w14:paraId="4446BCB1" w14:textId="64ED6ED7" w:rsidR="00DE696E" w:rsidRPr="003108E1" w:rsidRDefault="00DE696E" w:rsidP="004E58DF"/>
    <w:p w14:paraId="47C8C510" w14:textId="7CBB814F" w:rsidR="001C6D22" w:rsidRPr="003108E1" w:rsidRDefault="00A604ED" w:rsidP="00DE696E">
      <w:pPr>
        <w:spacing w:before="120"/>
        <w:rPr>
          <w:rFonts w:ascii="Calibri" w:hAnsi="Calibri" w:cs="Arial"/>
          <w:bCs/>
          <w:sz w:val="22"/>
          <w:szCs w:val="22"/>
        </w:rPr>
      </w:pPr>
      <w:r w:rsidRPr="003108E1">
        <w:rPr>
          <w:rFonts w:ascii="Calibri" w:hAnsi="Calibri" w:cs="Arial"/>
          <w:bCs/>
          <w:sz w:val="22"/>
          <w:szCs w:val="22"/>
        </w:rPr>
        <w:t>P</w:t>
      </w:r>
      <w:r w:rsidR="00DE696E" w:rsidRPr="003108E1">
        <w:rPr>
          <w:rFonts w:ascii="Calibri" w:hAnsi="Calibri" w:cs="Arial"/>
          <w:bCs/>
          <w:sz w:val="22"/>
          <w:szCs w:val="22"/>
        </w:rPr>
        <w:t>lease make sure you provide evidence to demonstrate clearly how you meet these criteria</w:t>
      </w:r>
      <w:r w:rsidR="00603E81" w:rsidRPr="003108E1">
        <w:rPr>
          <w:rFonts w:ascii="Calibri" w:hAnsi="Calibri" w:cs="Arial"/>
          <w:bCs/>
          <w:sz w:val="22"/>
          <w:szCs w:val="22"/>
        </w:rPr>
        <w:t xml:space="preserve">, </w:t>
      </w:r>
      <w:r w:rsidR="00603E81" w:rsidRPr="003108E1">
        <w:rPr>
          <w:rFonts w:ascii="Calibri" w:hAnsi="Calibri" w:cs="Arial"/>
          <w:b/>
          <w:bCs/>
          <w:sz w:val="22"/>
          <w:szCs w:val="22"/>
        </w:rPr>
        <w:t>which are all essential unless marked otherwise</w:t>
      </w:r>
      <w:r w:rsidR="00603E81" w:rsidRPr="003108E1">
        <w:rPr>
          <w:rFonts w:ascii="Calibri" w:hAnsi="Calibri" w:cs="Arial"/>
          <w:bCs/>
          <w:sz w:val="22"/>
          <w:szCs w:val="22"/>
        </w:rPr>
        <w:t>.</w:t>
      </w:r>
      <w:r w:rsidR="001C6D22" w:rsidRPr="003108E1">
        <w:rPr>
          <w:rFonts w:ascii="Calibri" w:hAnsi="Calibri" w:cs="Arial"/>
          <w:bCs/>
          <w:sz w:val="22"/>
          <w:szCs w:val="22"/>
        </w:rPr>
        <w:t xml:space="preserve"> Shortlisting will be based on your responses</w:t>
      </w:r>
      <w:r w:rsidR="00DE696E" w:rsidRPr="003108E1">
        <w:rPr>
          <w:rFonts w:ascii="Calibri" w:hAnsi="Calibri" w:cs="Arial"/>
          <w:bCs/>
          <w:sz w:val="22"/>
          <w:szCs w:val="22"/>
        </w:rPr>
        <w:t xml:space="preserve">. </w:t>
      </w:r>
    </w:p>
    <w:p w14:paraId="7C3CC5C9" w14:textId="77777777" w:rsidR="00FC2F78" w:rsidRDefault="00FC2F78" w:rsidP="00DE696E">
      <w:pPr>
        <w:spacing w:before="120"/>
        <w:rPr>
          <w:rFonts w:ascii="Calibri" w:hAnsi="Calibri" w:cs="Arial"/>
        </w:rPr>
      </w:pPr>
    </w:p>
    <w:p w14:paraId="35CE3955" w14:textId="127CDAB9" w:rsidR="00594C01" w:rsidRPr="003108E1" w:rsidRDefault="00DE696E" w:rsidP="003108E1">
      <w:pPr>
        <w:spacing w:before="120"/>
        <w:rPr>
          <w:rFonts w:ascii="Calibri" w:hAnsi="Calibri" w:cs="Arial"/>
          <w:sz w:val="22"/>
          <w:szCs w:val="22"/>
        </w:rPr>
      </w:pPr>
      <w:r w:rsidRPr="003108E1">
        <w:rPr>
          <w:rFonts w:ascii="Calibri" w:hAnsi="Calibri" w:cs="Arial"/>
          <w:sz w:val="22"/>
          <w:szCs w:val="22"/>
        </w:rPr>
        <w:t xml:space="preserve">Last updated: </w:t>
      </w:r>
      <w:r w:rsidR="00FD31B5">
        <w:rPr>
          <w:rFonts w:ascii="Calibri" w:hAnsi="Calibri" w:cs="Arial"/>
          <w:sz w:val="22"/>
          <w:szCs w:val="22"/>
        </w:rPr>
        <w:t>12</w:t>
      </w:r>
      <w:r w:rsidR="00FD31B5" w:rsidRPr="0097144C">
        <w:rPr>
          <w:rFonts w:ascii="Calibri" w:hAnsi="Calibri" w:cs="Arial"/>
          <w:sz w:val="22"/>
          <w:szCs w:val="22"/>
          <w:vertAlign w:val="superscript"/>
        </w:rPr>
        <w:t>th</w:t>
      </w:r>
      <w:r w:rsidR="00FD31B5">
        <w:rPr>
          <w:rFonts w:ascii="Calibri" w:hAnsi="Calibri" w:cs="Arial"/>
          <w:sz w:val="22"/>
          <w:szCs w:val="22"/>
        </w:rPr>
        <w:t xml:space="preserve"> October 2020</w:t>
      </w:r>
    </w:p>
    <w:sectPr w:rsidR="00594C01" w:rsidRPr="003108E1" w:rsidSect="00687B6D">
      <w:headerReference w:type="default" r:id="rId8"/>
      <w:headerReference w:type="first" r:id="rId9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B5E49" w14:textId="77777777" w:rsidR="00A34511" w:rsidRDefault="00A34511">
      <w:r>
        <w:separator/>
      </w:r>
    </w:p>
  </w:endnote>
  <w:endnote w:type="continuationSeparator" w:id="0">
    <w:p w14:paraId="7AC4B380" w14:textId="77777777" w:rsidR="00A34511" w:rsidRDefault="00A3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62D9F" w14:textId="77777777" w:rsidR="00A34511" w:rsidRDefault="00A34511">
      <w:r>
        <w:separator/>
      </w:r>
    </w:p>
  </w:footnote>
  <w:footnote w:type="continuationSeparator" w:id="0">
    <w:p w14:paraId="740DB569" w14:textId="77777777" w:rsidR="00A34511" w:rsidRDefault="00A34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86A61" w14:textId="77777777" w:rsidR="00303589" w:rsidRPr="00576313" w:rsidRDefault="00303589" w:rsidP="00576313">
    <w:pPr>
      <w:pStyle w:val="Header"/>
      <w:ind w:left="360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50912" w14:textId="77777777" w:rsidR="00303589" w:rsidRDefault="00303589">
    <w:pPr>
      <w:pStyle w:val="Header"/>
    </w:pPr>
    <w:r w:rsidRPr="005D7A28"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 wp14:anchorId="5DB0AB14" wp14:editId="5D9FF9FA">
          <wp:simplePos x="0" y="0"/>
          <wp:positionH relativeFrom="margin">
            <wp:posOffset>-76200</wp:posOffset>
          </wp:positionH>
          <wp:positionV relativeFrom="paragraph">
            <wp:posOffset>-76835</wp:posOffset>
          </wp:positionV>
          <wp:extent cx="1152525" cy="533400"/>
          <wp:effectExtent l="0" t="0" r="0" b="0"/>
          <wp:wrapTight wrapText="bothSides">
            <wp:wrapPolygon edited="0">
              <wp:start x="13924" y="0"/>
              <wp:lineTo x="0" y="5400"/>
              <wp:lineTo x="0" y="20829"/>
              <wp:lineTo x="21064" y="20829"/>
              <wp:lineTo x="20707" y="6943"/>
              <wp:lineTo x="17137" y="0"/>
              <wp:lineTo x="13924" y="0"/>
            </wp:wrapPolygon>
          </wp:wrapTight>
          <wp:docPr id="1" name="Picture 1" descr="Main_UAL_Lockup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_UAL_Lockup_BLACK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9934"/>
                  <a:stretch/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5FE83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C0462"/>
    <w:multiLevelType w:val="hybridMultilevel"/>
    <w:tmpl w:val="989C1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340C0"/>
    <w:multiLevelType w:val="hybridMultilevel"/>
    <w:tmpl w:val="97E83C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7522F"/>
    <w:multiLevelType w:val="hybridMultilevel"/>
    <w:tmpl w:val="1862D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C129EF"/>
    <w:multiLevelType w:val="hybridMultilevel"/>
    <w:tmpl w:val="F51E4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42E53"/>
    <w:multiLevelType w:val="hybridMultilevel"/>
    <w:tmpl w:val="39AA8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184ED2"/>
    <w:multiLevelType w:val="hybridMultilevel"/>
    <w:tmpl w:val="19C64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C3586C"/>
    <w:multiLevelType w:val="hybridMultilevel"/>
    <w:tmpl w:val="DA70B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657303"/>
    <w:multiLevelType w:val="hybridMultilevel"/>
    <w:tmpl w:val="64F45C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B67BF"/>
    <w:multiLevelType w:val="hybridMultilevel"/>
    <w:tmpl w:val="8BF24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D30A5"/>
    <w:multiLevelType w:val="hybridMultilevel"/>
    <w:tmpl w:val="3D2899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11"/>
  </w:num>
  <w:num w:numId="10">
    <w:abstractNumId w:val="5"/>
  </w:num>
  <w:num w:numId="11">
    <w:abstractNumId w:val="9"/>
  </w:num>
  <w:num w:numId="1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A9"/>
    <w:rsid w:val="00000FB6"/>
    <w:rsid w:val="000156BC"/>
    <w:rsid w:val="0002733A"/>
    <w:rsid w:val="00043AA1"/>
    <w:rsid w:val="00046D69"/>
    <w:rsid w:val="00076DC8"/>
    <w:rsid w:val="00084C0E"/>
    <w:rsid w:val="00094004"/>
    <w:rsid w:val="000940A9"/>
    <w:rsid w:val="000A7396"/>
    <w:rsid w:val="000B4B43"/>
    <w:rsid w:val="000C0840"/>
    <w:rsid w:val="000C2C30"/>
    <w:rsid w:val="000F0FD8"/>
    <w:rsid w:val="000F2DDA"/>
    <w:rsid w:val="00103C44"/>
    <w:rsid w:val="00104843"/>
    <w:rsid w:val="00114942"/>
    <w:rsid w:val="00117B35"/>
    <w:rsid w:val="00143C49"/>
    <w:rsid w:val="00150DEB"/>
    <w:rsid w:val="00167C44"/>
    <w:rsid w:val="00183DEF"/>
    <w:rsid w:val="001A7452"/>
    <w:rsid w:val="001C6D22"/>
    <w:rsid w:val="001D0B67"/>
    <w:rsid w:val="001F490C"/>
    <w:rsid w:val="002269BA"/>
    <w:rsid w:val="00232C4A"/>
    <w:rsid w:val="002441AB"/>
    <w:rsid w:val="002515FE"/>
    <w:rsid w:val="00262E2D"/>
    <w:rsid w:val="00265D84"/>
    <w:rsid w:val="00267073"/>
    <w:rsid w:val="00273FAC"/>
    <w:rsid w:val="0027651F"/>
    <w:rsid w:val="00282DE5"/>
    <w:rsid w:val="00284B93"/>
    <w:rsid w:val="00286686"/>
    <w:rsid w:val="00294063"/>
    <w:rsid w:val="00296584"/>
    <w:rsid w:val="002B382F"/>
    <w:rsid w:val="002B7662"/>
    <w:rsid w:val="002C2DE7"/>
    <w:rsid w:val="002C7E60"/>
    <w:rsid w:val="002D570E"/>
    <w:rsid w:val="002E36E2"/>
    <w:rsid w:val="002F2164"/>
    <w:rsid w:val="002F3FE7"/>
    <w:rsid w:val="00303589"/>
    <w:rsid w:val="003108E1"/>
    <w:rsid w:val="00317BFE"/>
    <w:rsid w:val="003321E8"/>
    <w:rsid w:val="00333F73"/>
    <w:rsid w:val="003803C8"/>
    <w:rsid w:val="003817E0"/>
    <w:rsid w:val="00390BBB"/>
    <w:rsid w:val="003A0BB9"/>
    <w:rsid w:val="003B2633"/>
    <w:rsid w:val="003B3CE6"/>
    <w:rsid w:val="003C2E1D"/>
    <w:rsid w:val="003D3432"/>
    <w:rsid w:val="003D5E23"/>
    <w:rsid w:val="003D5FCE"/>
    <w:rsid w:val="003E3AE4"/>
    <w:rsid w:val="003F77DF"/>
    <w:rsid w:val="0040142F"/>
    <w:rsid w:val="00403C33"/>
    <w:rsid w:val="00431B5B"/>
    <w:rsid w:val="004333A8"/>
    <w:rsid w:val="00456512"/>
    <w:rsid w:val="00461E60"/>
    <w:rsid w:val="004816C6"/>
    <w:rsid w:val="004879C9"/>
    <w:rsid w:val="004B7A3D"/>
    <w:rsid w:val="004D3601"/>
    <w:rsid w:val="004E3268"/>
    <w:rsid w:val="004E58DF"/>
    <w:rsid w:val="00502E65"/>
    <w:rsid w:val="00504901"/>
    <w:rsid w:val="00513CE3"/>
    <w:rsid w:val="0051790B"/>
    <w:rsid w:val="00520FE9"/>
    <w:rsid w:val="00525DF6"/>
    <w:rsid w:val="0053123A"/>
    <w:rsid w:val="00536C5E"/>
    <w:rsid w:val="00556B30"/>
    <w:rsid w:val="00560860"/>
    <w:rsid w:val="005608FB"/>
    <w:rsid w:val="00561666"/>
    <w:rsid w:val="00570A89"/>
    <w:rsid w:val="00570BB1"/>
    <w:rsid w:val="00576313"/>
    <w:rsid w:val="00594C01"/>
    <w:rsid w:val="005C3BA0"/>
    <w:rsid w:val="005E6079"/>
    <w:rsid w:val="005F772D"/>
    <w:rsid w:val="00603E81"/>
    <w:rsid w:val="006079C1"/>
    <w:rsid w:val="00610CDC"/>
    <w:rsid w:val="00624AD2"/>
    <w:rsid w:val="00635CC0"/>
    <w:rsid w:val="006607B1"/>
    <w:rsid w:val="00660F33"/>
    <w:rsid w:val="00666ED1"/>
    <w:rsid w:val="0067268A"/>
    <w:rsid w:val="00680302"/>
    <w:rsid w:val="00686EBB"/>
    <w:rsid w:val="00687B6D"/>
    <w:rsid w:val="00697B50"/>
    <w:rsid w:val="006A3235"/>
    <w:rsid w:val="006A674A"/>
    <w:rsid w:val="006C5F5D"/>
    <w:rsid w:val="006D587E"/>
    <w:rsid w:val="006D6B5D"/>
    <w:rsid w:val="006E5BEA"/>
    <w:rsid w:val="006F53E4"/>
    <w:rsid w:val="007128A1"/>
    <w:rsid w:val="007166ED"/>
    <w:rsid w:val="00730D34"/>
    <w:rsid w:val="007315B3"/>
    <w:rsid w:val="0074462C"/>
    <w:rsid w:val="00745D6B"/>
    <w:rsid w:val="00751837"/>
    <w:rsid w:val="0076696F"/>
    <w:rsid w:val="00796DAE"/>
    <w:rsid w:val="007D7227"/>
    <w:rsid w:val="007F1648"/>
    <w:rsid w:val="00800050"/>
    <w:rsid w:val="008064BA"/>
    <w:rsid w:val="008100BB"/>
    <w:rsid w:val="00815AAD"/>
    <w:rsid w:val="008217DE"/>
    <w:rsid w:val="00844A9D"/>
    <w:rsid w:val="0086380C"/>
    <w:rsid w:val="00877BBA"/>
    <w:rsid w:val="008C0FB8"/>
    <w:rsid w:val="008C3CB1"/>
    <w:rsid w:val="008C5C75"/>
    <w:rsid w:val="008C7227"/>
    <w:rsid w:val="008D390B"/>
    <w:rsid w:val="008E430C"/>
    <w:rsid w:val="008F6039"/>
    <w:rsid w:val="0090651A"/>
    <w:rsid w:val="00930676"/>
    <w:rsid w:val="00934B07"/>
    <w:rsid w:val="009438D6"/>
    <w:rsid w:val="00950F18"/>
    <w:rsid w:val="009557D4"/>
    <w:rsid w:val="009564A8"/>
    <w:rsid w:val="00957C45"/>
    <w:rsid w:val="0097144C"/>
    <w:rsid w:val="009741B1"/>
    <w:rsid w:val="0097624E"/>
    <w:rsid w:val="00982CF3"/>
    <w:rsid w:val="00992ED5"/>
    <w:rsid w:val="009A741C"/>
    <w:rsid w:val="009E1B2F"/>
    <w:rsid w:val="00A00D82"/>
    <w:rsid w:val="00A0586F"/>
    <w:rsid w:val="00A12159"/>
    <w:rsid w:val="00A15DD8"/>
    <w:rsid w:val="00A2502C"/>
    <w:rsid w:val="00A34511"/>
    <w:rsid w:val="00A363C2"/>
    <w:rsid w:val="00A476E6"/>
    <w:rsid w:val="00A5009E"/>
    <w:rsid w:val="00A50A85"/>
    <w:rsid w:val="00A514C8"/>
    <w:rsid w:val="00A56E83"/>
    <w:rsid w:val="00A604ED"/>
    <w:rsid w:val="00A6413C"/>
    <w:rsid w:val="00A7698A"/>
    <w:rsid w:val="00AA70BE"/>
    <w:rsid w:val="00AA7EA5"/>
    <w:rsid w:val="00AB562A"/>
    <w:rsid w:val="00AD5C3D"/>
    <w:rsid w:val="00AF0EA0"/>
    <w:rsid w:val="00AF6C2A"/>
    <w:rsid w:val="00B06ABB"/>
    <w:rsid w:val="00B26E52"/>
    <w:rsid w:val="00B4142B"/>
    <w:rsid w:val="00B52834"/>
    <w:rsid w:val="00B67FB4"/>
    <w:rsid w:val="00B847E5"/>
    <w:rsid w:val="00BB0D6D"/>
    <w:rsid w:val="00BB413C"/>
    <w:rsid w:val="00BC730C"/>
    <w:rsid w:val="00BE115C"/>
    <w:rsid w:val="00C007C8"/>
    <w:rsid w:val="00C33195"/>
    <w:rsid w:val="00C36210"/>
    <w:rsid w:val="00C41ED9"/>
    <w:rsid w:val="00C51446"/>
    <w:rsid w:val="00C54E60"/>
    <w:rsid w:val="00C74767"/>
    <w:rsid w:val="00CB6F02"/>
    <w:rsid w:val="00CD1530"/>
    <w:rsid w:val="00CE2F41"/>
    <w:rsid w:val="00D03920"/>
    <w:rsid w:val="00D1149C"/>
    <w:rsid w:val="00D1204E"/>
    <w:rsid w:val="00D21CDF"/>
    <w:rsid w:val="00D26B1F"/>
    <w:rsid w:val="00D27FC8"/>
    <w:rsid w:val="00D6418D"/>
    <w:rsid w:val="00D83EBD"/>
    <w:rsid w:val="00D87564"/>
    <w:rsid w:val="00DE696E"/>
    <w:rsid w:val="00E00A83"/>
    <w:rsid w:val="00E10084"/>
    <w:rsid w:val="00E16BFF"/>
    <w:rsid w:val="00E46D94"/>
    <w:rsid w:val="00E62E0A"/>
    <w:rsid w:val="00E8134A"/>
    <w:rsid w:val="00EB1A74"/>
    <w:rsid w:val="00EC1698"/>
    <w:rsid w:val="00EF1A8E"/>
    <w:rsid w:val="00F020B4"/>
    <w:rsid w:val="00F0596C"/>
    <w:rsid w:val="00F332A8"/>
    <w:rsid w:val="00F419E5"/>
    <w:rsid w:val="00F46DB0"/>
    <w:rsid w:val="00F81E10"/>
    <w:rsid w:val="00FB43F5"/>
    <w:rsid w:val="00FC2F78"/>
    <w:rsid w:val="00FD31B5"/>
    <w:rsid w:val="00FD4792"/>
    <w:rsid w:val="00FE3915"/>
    <w:rsid w:val="00FF2844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9FA057"/>
  <w15:docId w15:val="{B07627A1-49B3-724D-B8C6-189321E3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666"/>
    <w:rPr>
      <w:rFonts w:ascii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504901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50490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04901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504901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04901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</w:rPr>
  </w:style>
  <w:style w:type="paragraph" w:styleId="BodyText">
    <w:name w:val="Body Text"/>
    <w:basedOn w:val="Normal"/>
    <w:semiHidden/>
    <w:rsid w:val="00504901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504901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504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504901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504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504901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FC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5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8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86F"/>
    <w:rPr>
      <w:b/>
      <w:bCs/>
      <w:lang w:eastAsia="en-US"/>
    </w:rPr>
  </w:style>
  <w:style w:type="paragraph" w:styleId="ListBullet">
    <w:name w:val="List Bullet"/>
    <w:basedOn w:val="Normal"/>
    <w:uiPriority w:val="99"/>
    <w:unhideWhenUsed/>
    <w:rsid w:val="00C007C8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DE696E"/>
    <w:rPr>
      <w:rFonts w:eastAsia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7166ED"/>
    <w:rPr>
      <w:rFonts w:ascii="Arial" w:hAnsi="Arial" w:cs="Arial"/>
      <w:sz w:val="20"/>
    </w:rPr>
  </w:style>
  <w:style w:type="paragraph" w:styleId="NormalWeb">
    <w:name w:val="Normal (Web)"/>
    <w:basedOn w:val="Normal"/>
    <w:uiPriority w:val="99"/>
    <w:semiHidden/>
    <w:unhideWhenUsed/>
    <w:rsid w:val="00FE39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Revision">
    <w:name w:val="Revision"/>
    <w:hidden/>
    <w:uiPriority w:val="99"/>
    <w:semiHidden/>
    <w:rsid w:val="00610CDC"/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B8E26-052B-964E-9DAA-356FDC7E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Maloney;a.kingsley-nyinah@arts.ac.uk</dc:creator>
  <cp:keywords>Recruitment, Job Description template</cp:keywords>
  <cp:lastModifiedBy>Alisdair Aldous</cp:lastModifiedBy>
  <cp:revision>2</cp:revision>
  <cp:lastPrinted>2018-02-22T15:49:00Z</cp:lastPrinted>
  <dcterms:created xsi:type="dcterms:W3CDTF">2020-10-22T15:01:00Z</dcterms:created>
  <dcterms:modified xsi:type="dcterms:W3CDTF">2020-10-22T15:01:00Z</dcterms:modified>
</cp:coreProperties>
</file>