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BC60" w14:textId="77777777" w:rsidR="00F376F6" w:rsidRDefault="002B7C08" w:rsidP="002B7C08">
      <w:pPr>
        <w:pStyle w:val="Heading1"/>
        <w:jc w:val="center"/>
      </w:pPr>
      <w:r>
        <w:t>Job Description</w:t>
      </w:r>
    </w:p>
    <w:p w14:paraId="612F9693" w14:textId="77777777" w:rsidR="002B7C08" w:rsidRPr="002B7C08" w:rsidRDefault="002B7C08" w:rsidP="002B7C08"/>
    <w:p w14:paraId="79B06E39" w14:textId="50CED052" w:rsidR="00F376F6" w:rsidRDefault="002B7C08" w:rsidP="002B7C08">
      <w:pPr>
        <w:pStyle w:val="Heading1"/>
        <w:jc w:val="center"/>
      </w:pPr>
      <w:r>
        <w:t xml:space="preserve">Job Title – </w:t>
      </w:r>
      <w:r w:rsidR="00356D81">
        <w:t>Dean of the Doctoral School</w:t>
      </w:r>
    </w:p>
    <w:p w14:paraId="00818556" w14:textId="77777777" w:rsidR="00F376F6" w:rsidRDefault="00F376F6">
      <w:pPr>
        <w:rPr>
          <w:b/>
          <w:sz w:val="20"/>
        </w:rPr>
      </w:pPr>
    </w:p>
    <w:p w14:paraId="03E4D4D7"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50992364" w14:textId="77777777">
        <w:trPr>
          <w:trHeight w:val="565"/>
        </w:trPr>
        <w:tc>
          <w:tcPr>
            <w:tcW w:w="8814" w:type="dxa"/>
            <w:gridSpan w:val="2"/>
          </w:tcPr>
          <w:p w14:paraId="7CC5F01A" w14:textId="77777777" w:rsidR="00F376F6" w:rsidRDefault="002B7C08">
            <w:pPr>
              <w:pStyle w:val="TableParagraph"/>
              <w:spacing w:before="37"/>
              <w:ind w:left="3328" w:right="3309"/>
              <w:jc w:val="center"/>
              <w:rPr>
                <w:b/>
                <w:sz w:val="28"/>
              </w:rPr>
            </w:pPr>
            <w:r>
              <w:rPr>
                <w:b/>
                <w:sz w:val="28"/>
              </w:rPr>
              <w:t>Job Description</w:t>
            </w:r>
          </w:p>
        </w:tc>
      </w:tr>
      <w:tr w:rsidR="00F376F6" w14:paraId="4D489382" w14:textId="77777777">
        <w:trPr>
          <w:trHeight w:val="827"/>
        </w:trPr>
        <w:tc>
          <w:tcPr>
            <w:tcW w:w="5269" w:type="dxa"/>
          </w:tcPr>
          <w:p w14:paraId="1DEF9D5B" w14:textId="77777777" w:rsidR="00F376F6" w:rsidRDefault="002B7C08">
            <w:pPr>
              <w:pStyle w:val="TableParagraph"/>
              <w:spacing w:before="67"/>
              <w:rPr>
                <w:b/>
                <w:sz w:val="24"/>
              </w:rPr>
            </w:pPr>
            <w:r>
              <w:rPr>
                <w:b/>
                <w:sz w:val="24"/>
              </w:rPr>
              <w:t>College/Service</w:t>
            </w:r>
          </w:p>
          <w:p w14:paraId="0C74605D" w14:textId="7D7D8289" w:rsidR="00F376F6" w:rsidRDefault="003B1709">
            <w:pPr>
              <w:pStyle w:val="TableParagraph"/>
              <w:rPr>
                <w:sz w:val="24"/>
              </w:rPr>
            </w:pPr>
            <w:r>
              <w:rPr>
                <w:sz w:val="24"/>
              </w:rPr>
              <w:t xml:space="preserve">Research, Knowledge </w:t>
            </w:r>
            <w:proofErr w:type="gramStart"/>
            <w:r>
              <w:rPr>
                <w:sz w:val="24"/>
              </w:rPr>
              <w:t>Exchange</w:t>
            </w:r>
            <w:proofErr w:type="gramEnd"/>
            <w:r>
              <w:rPr>
                <w:sz w:val="24"/>
              </w:rPr>
              <w:t xml:space="preserve"> and Enterprise</w:t>
            </w:r>
          </w:p>
        </w:tc>
        <w:tc>
          <w:tcPr>
            <w:tcW w:w="3545" w:type="dxa"/>
            <w:tcBorders>
              <w:bottom w:val="single" w:sz="4" w:space="0" w:color="000000"/>
            </w:tcBorders>
          </w:tcPr>
          <w:p w14:paraId="67A17B04" w14:textId="77777777" w:rsidR="00F376F6" w:rsidRDefault="002B7C08">
            <w:pPr>
              <w:pStyle w:val="TableParagraph"/>
              <w:spacing w:line="274" w:lineRule="exact"/>
              <w:rPr>
                <w:b/>
                <w:sz w:val="24"/>
              </w:rPr>
            </w:pPr>
            <w:r>
              <w:rPr>
                <w:b/>
                <w:sz w:val="24"/>
              </w:rPr>
              <w:t>Location</w:t>
            </w:r>
          </w:p>
          <w:p w14:paraId="38F9413D" w14:textId="5FB99EBF" w:rsidR="00F376F6" w:rsidRDefault="003B1709">
            <w:pPr>
              <w:pStyle w:val="TableParagraph"/>
              <w:spacing w:before="137"/>
              <w:rPr>
                <w:sz w:val="24"/>
              </w:rPr>
            </w:pPr>
            <w:r>
              <w:rPr>
                <w:sz w:val="24"/>
              </w:rPr>
              <w:t>Holborn</w:t>
            </w:r>
          </w:p>
        </w:tc>
      </w:tr>
      <w:tr w:rsidR="00F376F6" w14:paraId="4D3B2F77" w14:textId="77777777" w:rsidTr="000308DF">
        <w:trPr>
          <w:trHeight w:val="893"/>
        </w:trPr>
        <w:tc>
          <w:tcPr>
            <w:tcW w:w="5269" w:type="dxa"/>
            <w:tcBorders>
              <w:right w:val="single" w:sz="4" w:space="0" w:color="000000"/>
            </w:tcBorders>
          </w:tcPr>
          <w:p w14:paraId="744FAD9A" w14:textId="77777777" w:rsidR="00F376F6" w:rsidRDefault="002B7C08">
            <w:pPr>
              <w:pStyle w:val="TableParagraph"/>
              <w:spacing w:line="274" w:lineRule="exact"/>
              <w:rPr>
                <w:b/>
                <w:sz w:val="24"/>
              </w:rPr>
            </w:pPr>
            <w:r>
              <w:rPr>
                <w:b/>
                <w:sz w:val="24"/>
              </w:rPr>
              <w:t>Contract Length</w:t>
            </w:r>
          </w:p>
          <w:p w14:paraId="08E0EE67" w14:textId="3F7FDCA9" w:rsidR="00F376F6" w:rsidRDefault="002B7C08" w:rsidP="000308DF">
            <w:pPr>
              <w:pStyle w:val="TableParagraph"/>
              <w:spacing w:before="139"/>
              <w:rPr>
                <w:sz w:val="24"/>
              </w:rPr>
            </w:pPr>
            <w:r>
              <w:rPr>
                <w:sz w:val="24"/>
              </w:rPr>
              <w:t>Permanent</w:t>
            </w:r>
          </w:p>
        </w:tc>
        <w:tc>
          <w:tcPr>
            <w:tcW w:w="3545" w:type="dxa"/>
            <w:tcBorders>
              <w:top w:val="single" w:sz="4" w:space="0" w:color="000000"/>
              <w:left w:val="single" w:sz="4" w:space="0" w:color="000000"/>
              <w:bottom w:val="single" w:sz="4" w:space="0" w:color="000000"/>
              <w:right w:val="single" w:sz="4" w:space="0" w:color="000000"/>
            </w:tcBorders>
          </w:tcPr>
          <w:p w14:paraId="382698AB" w14:textId="77777777" w:rsidR="00F376F6" w:rsidRDefault="002B7C08">
            <w:pPr>
              <w:pStyle w:val="TableParagraph"/>
              <w:spacing w:line="274" w:lineRule="exact"/>
              <w:ind w:left="112"/>
              <w:rPr>
                <w:b/>
                <w:sz w:val="24"/>
              </w:rPr>
            </w:pPr>
            <w:r>
              <w:rPr>
                <w:b/>
                <w:sz w:val="24"/>
              </w:rPr>
              <w:t>Hours per week / FTE</w:t>
            </w:r>
          </w:p>
          <w:p w14:paraId="3BBBBB40" w14:textId="057B7B08" w:rsidR="00F376F6" w:rsidRDefault="000308DF">
            <w:pPr>
              <w:pStyle w:val="TableParagraph"/>
              <w:spacing w:before="139"/>
              <w:ind w:left="112"/>
              <w:rPr>
                <w:sz w:val="24"/>
              </w:rPr>
            </w:pPr>
            <w:r>
              <w:rPr>
                <w:sz w:val="24"/>
              </w:rPr>
              <w:t>37</w:t>
            </w:r>
            <w:r w:rsidR="002B7C08">
              <w:rPr>
                <w:sz w:val="24"/>
              </w:rPr>
              <w:t xml:space="preserve"> / </w:t>
            </w:r>
            <w:r w:rsidR="003B1709">
              <w:rPr>
                <w:sz w:val="24"/>
              </w:rPr>
              <w:t>1.0</w:t>
            </w:r>
          </w:p>
          <w:p w14:paraId="2C0B6C01" w14:textId="3BCF651F" w:rsidR="00F376F6" w:rsidRDefault="00F376F6" w:rsidP="000308DF">
            <w:pPr>
              <w:pStyle w:val="TableParagraph"/>
              <w:spacing w:before="137"/>
              <w:rPr>
                <w:sz w:val="24"/>
              </w:rPr>
            </w:pPr>
          </w:p>
        </w:tc>
      </w:tr>
      <w:tr w:rsidR="00F376F6" w14:paraId="571EDD17" w14:textId="77777777">
        <w:trPr>
          <w:trHeight w:val="1240"/>
        </w:trPr>
        <w:tc>
          <w:tcPr>
            <w:tcW w:w="5269" w:type="dxa"/>
          </w:tcPr>
          <w:p w14:paraId="7298BE8C" w14:textId="77777777" w:rsidR="00F376F6" w:rsidRDefault="002B7C08">
            <w:pPr>
              <w:pStyle w:val="TableParagraph"/>
              <w:spacing w:line="274" w:lineRule="exact"/>
              <w:rPr>
                <w:b/>
                <w:sz w:val="24"/>
              </w:rPr>
            </w:pPr>
            <w:r>
              <w:rPr>
                <w:b/>
                <w:sz w:val="24"/>
              </w:rPr>
              <w:t>Accountable to</w:t>
            </w:r>
          </w:p>
          <w:p w14:paraId="68D2E449" w14:textId="07801DC3" w:rsidR="00F376F6" w:rsidRDefault="003B1709">
            <w:pPr>
              <w:pStyle w:val="TableParagraph"/>
              <w:spacing w:before="137"/>
              <w:rPr>
                <w:sz w:val="24"/>
              </w:rPr>
            </w:pPr>
            <w:r>
              <w:rPr>
                <w:sz w:val="24"/>
              </w:rPr>
              <w:t>DVC Research Knowledge Exchange and Enterprise</w:t>
            </w:r>
          </w:p>
        </w:tc>
        <w:tc>
          <w:tcPr>
            <w:tcW w:w="3545" w:type="dxa"/>
            <w:tcBorders>
              <w:top w:val="single" w:sz="4" w:space="0" w:color="000000"/>
            </w:tcBorders>
          </w:tcPr>
          <w:p w14:paraId="7D8CC638"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1C9D3C4B" w14:textId="45712F96" w:rsidR="00F376F6" w:rsidRDefault="000308DF">
            <w:pPr>
              <w:pStyle w:val="TableParagraph"/>
              <w:spacing w:before="137"/>
              <w:rPr>
                <w:sz w:val="24"/>
              </w:rPr>
            </w:pPr>
            <w:r>
              <w:rPr>
                <w:sz w:val="24"/>
              </w:rPr>
              <w:t>52</w:t>
            </w:r>
          </w:p>
        </w:tc>
      </w:tr>
      <w:tr w:rsidR="00F376F6" w14:paraId="02B76FDC" w14:textId="77777777" w:rsidTr="000308DF">
        <w:trPr>
          <w:trHeight w:val="916"/>
        </w:trPr>
        <w:tc>
          <w:tcPr>
            <w:tcW w:w="5269" w:type="dxa"/>
          </w:tcPr>
          <w:p w14:paraId="56149F02" w14:textId="77777777" w:rsidR="00F376F6" w:rsidRDefault="002B7C08">
            <w:pPr>
              <w:pStyle w:val="TableParagraph"/>
              <w:rPr>
                <w:b/>
                <w:sz w:val="24"/>
              </w:rPr>
            </w:pPr>
            <w:r>
              <w:rPr>
                <w:b/>
                <w:sz w:val="24"/>
              </w:rPr>
              <w:t>Salary</w:t>
            </w:r>
          </w:p>
          <w:p w14:paraId="7024FFE4" w14:textId="477B8221" w:rsidR="00F376F6" w:rsidRDefault="000308DF">
            <w:pPr>
              <w:pStyle w:val="TableParagraph"/>
              <w:spacing w:before="137"/>
              <w:rPr>
                <w:sz w:val="24"/>
              </w:rPr>
            </w:pPr>
            <w:r>
              <w:rPr>
                <w:sz w:val="24"/>
              </w:rPr>
              <w:t>Competitive dependent on experience</w:t>
            </w:r>
          </w:p>
        </w:tc>
        <w:tc>
          <w:tcPr>
            <w:tcW w:w="3545" w:type="dxa"/>
          </w:tcPr>
          <w:p w14:paraId="5679CACF" w14:textId="77777777" w:rsidR="00F376F6" w:rsidRDefault="002B7C08">
            <w:pPr>
              <w:pStyle w:val="TableParagraph"/>
              <w:rPr>
                <w:b/>
                <w:sz w:val="24"/>
              </w:rPr>
            </w:pPr>
            <w:r>
              <w:rPr>
                <w:b/>
                <w:sz w:val="24"/>
              </w:rPr>
              <w:t>Grade</w:t>
            </w:r>
          </w:p>
          <w:p w14:paraId="19664024" w14:textId="3C7DB723" w:rsidR="00F376F6" w:rsidRDefault="000308DF">
            <w:pPr>
              <w:pStyle w:val="TableParagraph"/>
              <w:spacing w:before="137"/>
              <w:rPr>
                <w:sz w:val="24"/>
              </w:rPr>
            </w:pPr>
            <w:r>
              <w:rPr>
                <w:sz w:val="24"/>
              </w:rPr>
              <w:t>Individual</w:t>
            </w:r>
          </w:p>
        </w:tc>
      </w:tr>
    </w:tbl>
    <w:p w14:paraId="524B0909" w14:textId="77777777" w:rsidR="00F376F6" w:rsidRDefault="00F376F6">
      <w:pPr>
        <w:rPr>
          <w:b/>
          <w:sz w:val="20"/>
        </w:rPr>
      </w:pPr>
    </w:p>
    <w:p w14:paraId="23A68E5E"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563CD8AE" w14:textId="77777777">
        <w:trPr>
          <w:trHeight w:val="536"/>
        </w:trPr>
        <w:tc>
          <w:tcPr>
            <w:tcW w:w="8790" w:type="dxa"/>
            <w:tcBorders>
              <w:left w:val="single" w:sz="8" w:space="0" w:color="000000"/>
              <w:bottom w:val="single" w:sz="8" w:space="0" w:color="000000"/>
              <w:right w:val="single" w:sz="8" w:space="0" w:color="000000"/>
            </w:tcBorders>
          </w:tcPr>
          <w:p w14:paraId="47B06C70"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0C2DAC67" w14:textId="77777777">
        <w:trPr>
          <w:trHeight w:val="829"/>
        </w:trPr>
        <w:tc>
          <w:tcPr>
            <w:tcW w:w="8790" w:type="dxa"/>
            <w:tcBorders>
              <w:top w:val="single" w:sz="8" w:space="0" w:color="000000"/>
              <w:left w:val="single" w:sz="8" w:space="0" w:color="000000"/>
              <w:bottom w:val="single" w:sz="8" w:space="0" w:color="000000"/>
              <w:right w:val="single" w:sz="8" w:space="0" w:color="000000"/>
            </w:tcBorders>
          </w:tcPr>
          <w:p w14:paraId="0E35AEBD" w14:textId="77777777" w:rsidR="00860FEB" w:rsidRDefault="002B7C08" w:rsidP="00860FEB">
            <w:pPr>
              <w:pStyle w:val="TableParagraph"/>
              <w:rPr>
                <w:bCs/>
                <w:sz w:val="24"/>
              </w:rPr>
            </w:pPr>
            <w:r>
              <w:rPr>
                <w:b/>
                <w:sz w:val="24"/>
              </w:rPr>
              <w:t>Purpose of Role</w:t>
            </w:r>
          </w:p>
          <w:p w14:paraId="2B987AF7" w14:textId="77777777" w:rsidR="00860FEB" w:rsidRDefault="00860FEB" w:rsidP="00860FEB">
            <w:pPr>
              <w:pStyle w:val="TableParagraph"/>
              <w:rPr>
                <w:bCs/>
                <w:sz w:val="24"/>
              </w:rPr>
            </w:pPr>
          </w:p>
          <w:p w14:paraId="2A9FEB96" w14:textId="5FBB4978" w:rsidR="000A1DF2" w:rsidRDefault="00860FEB" w:rsidP="000A1DF2">
            <w:pPr>
              <w:pStyle w:val="TableParagraph"/>
              <w:rPr>
                <w:bCs/>
                <w:sz w:val="24"/>
              </w:rPr>
            </w:pPr>
            <w:r>
              <w:rPr>
                <w:bCs/>
                <w:sz w:val="24"/>
              </w:rPr>
              <w:t xml:space="preserve">Reporting to the DVC Research, Knowledge Exchange and Enterprise the Dean of the Doctoral School will </w:t>
            </w:r>
            <w:r w:rsidR="003D6F3F">
              <w:rPr>
                <w:bCs/>
                <w:sz w:val="24"/>
              </w:rPr>
              <w:t xml:space="preserve">lead the new UAL Doctoral School </w:t>
            </w:r>
            <w:r>
              <w:rPr>
                <w:bCs/>
                <w:sz w:val="24"/>
              </w:rPr>
              <w:t>provid</w:t>
            </w:r>
            <w:r w:rsidR="003D6F3F">
              <w:rPr>
                <w:bCs/>
                <w:sz w:val="24"/>
              </w:rPr>
              <w:t>ing</w:t>
            </w:r>
            <w:r>
              <w:rPr>
                <w:bCs/>
                <w:sz w:val="24"/>
              </w:rPr>
              <w:t xml:space="preserve"> academic leadership for the </w:t>
            </w:r>
            <w:r w:rsidR="003D6F3F">
              <w:rPr>
                <w:bCs/>
                <w:sz w:val="24"/>
              </w:rPr>
              <w:t>university’s</w:t>
            </w:r>
            <w:r>
              <w:rPr>
                <w:bCs/>
                <w:sz w:val="24"/>
              </w:rPr>
              <w:t xml:space="preserve"> doctoral programmes</w:t>
            </w:r>
            <w:r w:rsidR="003D6F3F">
              <w:rPr>
                <w:bCs/>
                <w:sz w:val="24"/>
              </w:rPr>
              <w:t>. This</w:t>
            </w:r>
            <w:r>
              <w:rPr>
                <w:bCs/>
                <w:sz w:val="24"/>
              </w:rPr>
              <w:t xml:space="preserve"> includ</w:t>
            </w:r>
            <w:r w:rsidR="003D6F3F">
              <w:rPr>
                <w:bCs/>
                <w:sz w:val="24"/>
              </w:rPr>
              <w:t>es responsibility for</w:t>
            </w:r>
            <w:r>
              <w:rPr>
                <w:bCs/>
                <w:sz w:val="24"/>
              </w:rPr>
              <w:t xml:space="preserve"> the doctoral training programme, doctoral training collaborations and partnerships, funding bids to support PGR pedagogy and related research activity, post graduate research student experience and research degree validation partnerships. </w:t>
            </w:r>
          </w:p>
          <w:p w14:paraId="0BC4EFE6" w14:textId="6A87A0BE" w:rsidR="00860FEB" w:rsidRDefault="00860FEB" w:rsidP="00860FEB">
            <w:pPr>
              <w:pStyle w:val="TableParagraph"/>
              <w:rPr>
                <w:bCs/>
                <w:sz w:val="24"/>
              </w:rPr>
            </w:pPr>
          </w:p>
          <w:p w14:paraId="702E9554" w14:textId="7AF57402" w:rsidR="00A96C74" w:rsidRDefault="00A96C74" w:rsidP="00860FEB">
            <w:pPr>
              <w:pStyle w:val="TableParagraph"/>
              <w:rPr>
                <w:bCs/>
                <w:sz w:val="24"/>
              </w:rPr>
            </w:pPr>
            <w:r>
              <w:rPr>
                <w:bCs/>
                <w:sz w:val="24"/>
              </w:rPr>
              <w:t>The Dean of the Doctoral School will support the university’s in delivering key aspects of the new research strategy and in meeting its strategic ambitions to grow PhD student numbers and increase our international partnerships and opportunities.</w:t>
            </w:r>
          </w:p>
          <w:p w14:paraId="6A8CE0D8" w14:textId="77777777" w:rsidR="00A96C74" w:rsidRDefault="00A96C74" w:rsidP="00860FEB">
            <w:pPr>
              <w:pStyle w:val="TableParagraph"/>
              <w:rPr>
                <w:bCs/>
                <w:sz w:val="24"/>
              </w:rPr>
            </w:pPr>
          </w:p>
          <w:p w14:paraId="170FCD3B" w14:textId="727DBC5A" w:rsidR="00860FEB" w:rsidRDefault="00860FEB" w:rsidP="00860FEB">
            <w:pPr>
              <w:pStyle w:val="TableParagraph"/>
              <w:rPr>
                <w:bCs/>
                <w:sz w:val="24"/>
              </w:rPr>
            </w:pPr>
            <w:r>
              <w:rPr>
                <w:bCs/>
                <w:sz w:val="24"/>
              </w:rPr>
              <w:t>The Dean will work with the Director of RMA to identify new opportunities for international collaborations</w:t>
            </w:r>
            <w:r w:rsidR="006E45A4">
              <w:rPr>
                <w:bCs/>
                <w:sz w:val="24"/>
              </w:rPr>
              <w:t xml:space="preserve"> and industry partnership</w:t>
            </w:r>
            <w:r>
              <w:rPr>
                <w:bCs/>
                <w:sz w:val="24"/>
              </w:rPr>
              <w:t xml:space="preserve">. The Dean will work with the Development Office to identify sources of external philanthropic funding to support PGR students particularly in relation to the </w:t>
            </w:r>
            <w:r w:rsidR="00BD7CF9">
              <w:rPr>
                <w:bCs/>
                <w:sz w:val="24"/>
              </w:rPr>
              <w:t>university’s</w:t>
            </w:r>
            <w:r>
              <w:rPr>
                <w:bCs/>
                <w:sz w:val="24"/>
              </w:rPr>
              <w:t xml:space="preserve"> key agendas on climate and Race equality.</w:t>
            </w:r>
          </w:p>
          <w:p w14:paraId="52BB3A0D" w14:textId="73AEF3FD" w:rsidR="00BD7CF9" w:rsidRDefault="00BD7CF9" w:rsidP="00860FEB">
            <w:pPr>
              <w:pStyle w:val="TableParagraph"/>
              <w:rPr>
                <w:bCs/>
                <w:sz w:val="24"/>
              </w:rPr>
            </w:pPr>
          </w:p>
          <w:p w14:paraId="77517CCD" w14:textId="248B823B" w:rsidR="00860FEB" w:rsidRPr="00860FEB" w:rsidRDefault="00860FEB" w:rsidP="00A96C74">
            <w:pPr>
              <w:pStyle w:val="TableParagraph"/>
              <w:ind w:left="0"/>
              <w:rPr>
                <w:bCs/>
                <w:sz w:val="24"/>
              </w:rPr>
            </w:pPr>
          </w:p>
        </w:tc>
      </w:tr>
      <w:tr w:rsidR="00F376F6" w14:paraId="002097AC" w14:textId="77777777">
        <w:trPr>
          <w:trHeight w:val="4204"/>
        </w:trPr>
        <w:tc>
          <w:tcPr>
            <w:tcW w:w="8790" w:type="dxa"/>
            <w:tcBorders>
              <w:top w:val="single" w:sz="8" w:space="0" w:color="000000"/>
              <w:left w:val="single" w:sz="8" w:space="0" w:color="000000"/>
              <w:bottom w:val="single" w:sz="8" w:space="0" w:color="000000"/>
              <w:right w:val="single" w:sz="8" w:space="0" w:color="000000"/>
            </w:tcBorders>
          </w:tcPr>
          <w:p w14:paraId="4F3B9C7F" w14:textId="77777777" w:rsidR="00F376F6" w:rsidRDefault="002B7C08">
            <w:pPr>
              <w:pStyle w:val="TableParagraph"/>
              <w:spacing w:line="274" w:lineRule="exact"/>
              <w:rPr>
                <w:b/>
                <w:sz w:val="24"/>
              </w:rPr>
            </w:pPr>
            <w:r>
              <w:rPr>
                <w:b/>
                <w:sz w:val="24"/>
              </w:rPr>
              <w:lastRenderedPageBreak/>
              <w:t>Duties and Responsibilities</w:t>
            </w:r>
          </w:p>
          <w:p w14:paraId="6870E48E" w14:textId="058FCD39" w:rsidR="00EB4599" w:rsidRPr="00EB4599" w:rsidRDefault="00EB4599" w:rsidP="00EB4599">
            <w:pPr>
              <w:pStyle w:val="TableParagraph"/>
              <w:numPr>
                <w:ilvl w:val="0"/>
                <w:numId w:val="4"/>
              </w:numPr>
              <w:tabs>
                <w:tab w:val="left" w:pos="467"/>
                <w:tab w:val="left" w:pos="468"/>
              </w:tabs>
              <w:spacing w:before="140" w:line="350" w:lineRule="auto"/>
              <w:ind w:right="182"/>
              <w:rPr>
                <w:sz w:val="24"/>
              </w:rPr>
            </w:pPr>
            <w:r w:rsidRPr="00EB4599">
              <w:rPr>
                <w:sz w:val="24"/>
              </w:rPr>
              <w:t xml:space="preserve">To lead implementation of </w:t>
            </w:r>
            <w:r>
              <w:rPr>
                <w:sz w:val="24"/>
              </w:rPr>
              <w:t xml:space="preserve">initiatives under Objective one of the </w:t>
            </w:r>
            <w:r w:rsidRPr="00EB4599">
              <w:rPr>
                <w:sz w:val="24"/>
              </w:rPr>
              <w:t xml:space="preserve">University’s </w:t>
            </w:r>
            <w:r>
              <w:rPr>
                <w:sz w:val="24"/>
              </w:rPr>
              <w:t xml:space="preserve">Research Strategy </w:t>
            </w:r>
            <w:proofErr w:type="spellStart"/>
            <w:r w:rsidRPr="00EB4599">
              <w:rPr>
                <w:sz w:val="24"/>
              </w:rPr>
              <w:t>strategy</w:t>
            </w:r>
            <w:proofErr w:type="spellEnd"/>
            <w:r w:rsidRPr="00EB4599">
              <w:rPr>
                <w:sz w:val="24"/>
              </w:rPr>
              <w:t xml:space="preserve"> for doctoral research degrees provision across all </w:t>
            </w:r>
            <w:r>
              <w:rPr>
                <w:sz w:val="24"/>
              </w:rPr>
              <w:t xml:space="preserve">Colleges </w:t>
            </w:r>
            <w:r w:rsidR="00BD7CF9">
              <w:rPr>
                <w:sz w:val="24"/>
              </w:rPr>
              <w:t xml:space="preserve">and Institutes </w:t>
            </w:r>
            <w:r w:rsidRPr="00EB4599">
              <w:rPr>
                <w:sz w:val="24"/>
              </w:rPr>
              <w:t>to enable growth in PGR student numbers</w:t>
            </w:r>
            <w:r w:rsidR="00BD7CF9">
              <w:rPr>
                <w:sz w:val="24"/>
              </w:rPr>
              <w:t xml:space="preserve"> while improving student outcomes and the research student experience.</w:t>
            </w:r>
          </w:p>
          <w:p w14:paraId="64078762" w14:textId="0FE19B30" w:rsidR="003E4CB0" w:rsidRDefault="003E4CB0" w:rsidP="003E4CB0">
            <w:pPr>
              <w:pStyle w:val="TableParagraph"/>
              <w:numPr>
                <w:ilvl w:val="0"/>
                <w:numId w:val="4"/>
              </w:numPr>
              <w:tabs>
                <w:tab w:val="left" w:pos="467"/>
                <w:tab w:val="left" w:pos="468"/>
              </w:tabs>
              <w:spacing w:before="140" w:line="350" w:lineRule="auto"/>
              <w:ind w:right="182"/>
              <w:rPr>
                <w:sz w:val="24"/>
              </w:rPr>
            </w:pPr>
            <w:r>
              <w:rPr>
                <w:sz w:val="24"/>
              </w:rPr>
              <w:t>To develop collaborations with other HEIs and partners in the creative industries and beyond for doctoral training consortia bids and networks.</w:t>
            </w:r>
          </w:p>
          <w:p w14:paraId="5D0B3915" w14:textId="057ACFCF" w:rsidR="003E4CB0" w:rsidRDefault="003E4CB0" w:rsidP="003E4CB0">
            <w:pPr>
              <w:pStyle w:val="TableParagraph"/>
              <w:numPr>
                <w:ilvl w:val="0"/>
                <w:numId w:val="4"/>
              </w:numPr>
              <w:tabs>
                <w:tab w:val="left" w:pos="467"/>
                <w:tab w:val="left" w:pos="468"/>
              </w:tabs>
              <w:spacing w:before="140" w:line="350" w:lineRule="auto"/>
              <w:ind w:right="182"/>
              <w:rPr>
                <w:sz w:val="24"/>
              </w:rPr>
            </w:pPr>
            <w:r>
              <w:rPr>
                <w:sz w:val="24"/>
              </w:rPr>
              <w:t>Work Collaboratively with College and Institutes to develop and coordinate strategies to grow PhD numbers in line with targets</w:t>
            </w:r>
            <w:r w:rsidR="00A7419C">
              <w:rPr>
                <w:sz w:val="24"/>
              </w:rPr>
              <w:t xml:space="preserve">, supervisory </w:t>
            </w:r>
            <w:proofErr w:type="gramStart"/>
            <w:r w:rsidR="00A7419C">
              <w:rPr>
                <w:sz w:val="24"/>
              </w:rPr>
              <w:t>capacity</w:t>
            </w:r>
            <w:proofErr w:type="gramEnd"/>
            <w:r w:rsidR="00A7419C">
              <w:rPr>
                <w:sz w:val="24"/>
              </w:rPr>
              <w:t xml:space="preserve"> and expertise.</w:t>
            </w:r>
          </w:p>
          <w:p w14:paraId="5AA60207" w14:textId="75CEBB37" w:rsidR="003E4CB0" w:rsidRDefault="003E4CB0" w:rsidP="003E4CB0">
            <w:pPr>
              <w:pStyle w:val="TableParagraph"/>
              <w:numPr>
                <w:ilvl w:val="0"/>
                <w:numId w:val="4"/>
              </w:numPr>
              <w:tabs>
                <w:tab w:val="left" w:pos="467"/>
                <w:tab w:val="left" w:pos="468"/>
              </w:tabs>
              <w:spacing w:before="140" w:line="350" w:lineRule="auto"/>
              <w:ind w:right="182"/>
              <w:rPr>
                <w:sz w:val="24"/>
              </w:rPr>
            </w:pPr>
            <w:r>
              <w:rPr>
                <w:sz w:val="24"/>
              </w:rPr>
              <w:t>Work with the College Associate Deans of Research to develop and coordinate strategies to improve the research student experience.</w:t>
            </w:r>
          </w:p>
          <w:p w14:paraId="16F13594" w14:textId="1151D880" w:rsidR="000A1DF2" w:rsidRDefault="000A1DF2" w:rsidP="003E4CB0">
            <w:pPr>
              <w:pStyle w:val="TableParagraph"/>
              <w:numPr>
                <w:ilvl w:val="0"/>
                <w:numId w:val="4"/>
              </w:numPr>
              <w:tabs>
                <w:tab w:val="left" w:pos="467"/>
                <w:tab w:val="left" w:pos="468"/>
              </w:tabs>
              <w:spacing w:before="140" w:line="350" w:lineRule="auto"/>
              <w:ind w:right="182"/>
              <w:rPr>
                <w:sz w:val="24"/>
              </w:rPr>
            </w:pPr>
            <w:r>
              <w:rPr>
                <w:sz w:val="24"/>
              </w:rPr>
              <w:t xml:space="preserve">To be responsible for ensuring a programme of coordinated PGR student training and development </w:t>
            </w:r>
            <w:r w:rsidR="006E45A4">
              <w:rPr>
                <w:sz w:val="24"/>
              </w:rPr>
              <w:t>across the university</w:t>
            </w:r>
            <w:r w:rsidR="007B6814">
              <w:rPr>
                <w:sz w:val="24"/>
              </w:rPr>
              <w:t>,</w:t>
            </w:r>
            <w:r w:rsidR="006E45A4">
              <w:rPr>
                <w:sz w:val="24"/>
              </w:rPr>
              <w:t xml:space="preserve"> </w:t>
            </w:r>
            <w:r>
              <w:rPr>
                <w:sz w:val="24"/>
              </w:rPr>
              <w:t>including the Univers</w:t>
            </w:r>
            <w:r w:rsidR="00E91E18">
              <w:rPr>
                <w:sz w:val="24"/>
              </w:rPr>
              <w:t>ity’s RNUAL programme of PGR student training</w:t>
            </w:r>
            <w:r w:rsidR="007B6814">
              <w:rPr>
                <w:sz w:val="24"/>
              </w:rPr>
              <w:t>,</w:t>
            </w:r>
            <w:r w:rsidR="00E91E18">
              <w:rPr>
                <w:sz w:val="24"/>
              </w:rPr>
              <w:t xml:space="preserve"> and ensuring alignment with the university’s commitment to the Concordat on Researcher Development.</w:t>
            </w:r>
          </w:p>
          <w:p w14:paraId="0DB1FB6F" w14:textId="1B07679A" w:rsidR="00673978" w:rsidRDefault="00BD7CF9">
            <w:pPr>
              <w:pStyle w:val="TableParagraph"/>
              <w:numPr>
                <w:ilvl w:val="0"/>
                <w:numId w:val="4"/>
              </w:numPr>
              <w:tabs>
                <w:tab w:val="left" w:pos="467"/>
                <w:tab w:val="left" w:pos="468"/>
              </w:tabs>
              <w:spacing w:before="140" w:line="350" w:lineRule="auto"/>
              <w:ind w:right="182"/>
              <w:rPr>
                <w:sz w:val="24"/>
              </w:rPr>
            </w:pPr>
            <w:r>
              <w:rPr>
                <w:sz w:val="24"/>
              </w:rPr>
              <w:t>Work with the Teaching and Learning Exchange to cr</w:t>
            </w:r>
            <w:r w:rsidR="00E91E18">
              <w:rPr>
                <w:sz w:val="24"/>
              </w:rPr>
              <w:t>eate a coordinated,</w:t>
            </w:r>
            <w:r>
              <w:rPr>
                <w:sz w:val="24"/>
              </w:rPr>
              <w:t xml:space="preserve"> evidence and needs</w:t>
            </w:r>
            <w:r w:rsidR="00673978">
              <w:rPr>
                <w:sz w:val="24"/>
              </w:rPr>
              <w:t xml:space="preserve"> </w:t>
            </w:r>
            <w:r>
              <w:rPr>
                <w:sz w:val="24"/>
              </w:rPr>
              <w:t xml:space="preserve">based training </w:t>
            </w:r>
            <w:r w:rsidR="00E91E18">
              <w:rPr>
                <w:sz w:val="24"/>
              </w:rPr>
              <w:t xml:space="preserve">and development </w:t>
            </w:r>
            <w:r>
              <w:rPr>
                <w:sz w:val="24"/>
              </w:rPr>
              <w:t xml:space="preserve">programme for new and current PGR supervisors </w:t>
            </w:r>
            <w:r w:rsidR="00673978">
              <w:rPr>
                <w:sz w:val="24"/>
              </w:rPr>
              <w:t>to support student outcomes, wellbeing, and experience as well as grow supervisory capacity.</w:t>
            </w:r>
          </w:p>
          <w:p w14:paraId="679F1895" w14:textId="0BEB57CE" w:rsidR="003E4CB0" w:rsidRDefault="003E4CB0">
            <w:pPr>
              <w:pStyle w:val="TableParagraph"/>
              <w:numPr>
                <w:ilvl w:val="0"/>
                <w:numId w:val="4"/>
              </w:numPr>
              <w:tabs>
                <w:tab w:val="left" w:pos="467"/>
                <w:tab w:val="left" w:pos="468"/>
              </w:tabs>
              <w:spacing w:before="140" w:line="350" w:lineRule="auto"/>
              <w:ind w:right="182"/>
              <w:rPr>
                <w:sz w:val="24"/>
              </w:rPr>
            </w:pPr>
            <w:r>
              <w:rPr>
                <w:sz w:val="24"/>
              </w:rPr>
              <w:t>To ensure a culture of best practice in academic supervision.</w:t>
            </w:r>
          </w:p>
          <w:p w14:paraId="5E94413E" w14:textId="307E0FE5" w:rsidR="007B6814" w:rsidRDefault="007B6814">
            <w:pPr>
              <w:pStyle w:val="TableParagraph"/>
              <w:numPr>
                <w:ilvl w:val="0"/>
                <w:numId w:val="4"/>
              </w:numPr>
              <w:tabs>
                <w:tab w:val="left" w:pos="467"/>
                <w:tab w:val="left" w:pos="468"/>
              </w:tabs>
              <w:spacing w:before="140" w:line="350" w:lineRule="auto"/>
              <w:ind w:right="182"/>
              <w:rPr>
                <w:sz w:val="24"/>
              </w:rPr>
            </w:pPr>
            <w:r>
              <w:rPr>
                <w:sz w:val="24"/>
              </w:rPr>
              <w:t>To develop the universities research culture for PGR students through developing a cross university programme of events and activities hosted by the Doctoral Centre</w:t>
            </w:r>
          </w:p>
          <w:p w14:paraId="3BDFC2D6" w14:textId="6CA03027" w:rsidR="006E45A4" w:rsidRDefault="006E45A4">
            <w:pPr>
              <w:pStyle w:val="TableParagraph"/>
              <w:numPr>
                <w:ilvl w:val="0"/>
                <w:numId w:val="4"/>
              </w:numPr>
              <w:tabs>
                <w:tab w:val="left" w:pos="467"/>
                <w:tab w:val="left" w:pos="468"/>
              </w:tabs>
              <w:spacing w:before="140" w:line="350" w:lineRule="auto"/>
              <w:ind w:right="182"/>
              <w:rPr>
                <w:sz w:val="24"/>
              </w:rPr>
            </w:pPr>
            <w:r>
              <w:rPr>
                <w:sz w:val="24"/>
              </w:rPr>
              <w:t>To be responsible for ensuring the principles of the Concordat for Research Integrity are embedded in PGR programmes.</w:t>
            </w:r>
          </w:p>
          <w:p w14:paraId="58643377" w14:textId="0A2281FD" w:rsidR="006E45A4" w:rsidRDefault="006E45A4">
            <w:pPr>
              <w:pStyle w:val="TableParagraph"/>
              <w:numPr>
                <w:ilvl w:val="0"/>
                <w:numId w:val="4"/>
              </w:numPr>
              <w:tabs>
                <w:tab w:val="left" w:pos="467"/>
                <w:tab w:val="left" w:pos="468"/>
              </w:tabs>
              <w:spacing w:before="140" w:line="350" w:lineRule="auto"/>
              <w:ind w:right="182"/>
              <w:rPr>
                <w:sz w:val="24"/>
              </w:rPr>
            </w:pPr>
            <w:r>
              <w:rPr>
                <w:sz w:val="24"/>
              </w:rPr>
              <w:t>To oversee governance and quality assurance for PGR student programmes.</w:t>
            </w:r>
          </w:p>
          <w:p w14:paraId="7387D422" w14:textId="11096E79" w:rsidR="00A7419C" w:rsidRDefault="00A7419C">
            <w:pPr>
              <w:pStyle w:val="TableParagraph"/>
              <w:numPr>
                <w:ilvl w:val="0"/>
                <w:numId w:val="4"/>
              </w:numPr>
              <w:tabs>
                <w:tab w:val="left" w:pos="467"/>
                <w:tab w:val="left" w:pos="468"/>
              </w:tabs>
              <w:spacing w:before="140" w:line="350" w:lineRule="auto"/>
              <w:ind w:right="182"/>
              <w:rPr>
                <w:sz w:val="24"/>
              </w:rPr>
            </w:pPr>
            <w:r>
              <w:rPr>
                <w:sz w:val="24"/>
              </w:rPr>
              <w:t>Respond</w:t>
            </w:r>
            <w:r w:rsidRPr="00A7419C">
              <w:rPr>
                <w:sz w:val="24"/>
              </w:rPr>
              <w:t xml:space="preserve"> to consultations by UKRI, Research England and other bodies on HE policy affecting research degrees programmes and doctoral training.</w:t>
            </w:r>
          </w:p>
          <w:p w14:paraId="130AB349" w14:textId="77777777" w:rsidR="00673978" w:rsidRDefault="00673978" w:rsidP="00673978">
            <w:pPr>
              <w:pStyle w:val="TableParagraph"/>
              <w:numPr>
                <w:ilvl w:val="0"/>
                <w:numId w:val="4"/>
              </w:numPr>
              <w:tabs>
                <w:tab w:val="left" w:pos="467"/>
                <w:tab w:val="left" w:pos="468"/>
              </w:tabs>
              <w:spacing w:before="140" w:line="350" w:lineRule="auto"/>
              <w:ind w:right="182"/>
              <w:rPr>
                <w:sz w:val="24"/>
              </w:rPr>
            </w:pPr>
            <w:r>
              <w:rPr>
                <w:sz w:val="24"/>
              </w:rPr>
              <w:lastRenderedPageBreak/>
              <w:t>Represent the University externally on panels and committees relevant to PGR including the management board of the techne doctoral training partnership.</w:t>
            </w:r>
          </w:p>
          <w:p w14:paraId="60B79C05" w14:textId="36C2D203" w:rsidR="00673978" w:rsidRDefault="003E4CB0" w:rsidP="000A1DF2">
            <w:pPr>
              <w:pStyle w:val="TableParagraph"/>
              <w:numPr>
                <w:ilvl w:val="0"/>
                <w:numId w:val="4"/>
              </w:numPr>
              <w:tabs>
                <w:tab w:val="left" w:pos="467"/>
                <w:tab w:val="left" w:pos="468"/>
              </w:tabs>
              <w:spacing w:before="140" w:line="350" w:lineRule="auto"/>
              <w:ind w:right="182"/>
              <w:rPr>
                <w:sz w:val="24"/>
              </w:rPr>
            </w:pPr>
            <w:r>
              <w:rPr>
                <w:sz w:val="24"/>
              </w:rPr>
              <w:t xml:space="preserve">Maintain </w:t>
            </w:r>
            <w:r w:rsidR="000A1DF2">
              <w:rPr>
                <w:sz w:val="24"/>
              </w:rPr>
              <w:t>their academic</w:t>
            </w:r>
            <w:r w:rsidRPr="003E4CB0">
              <w:rPr>
                <w:sz w:val="24"/>
              </w:rPr>
              <w:t xml:space="preserve"> research </w:t>
            </w:r>
            <w:r w:rsidR="000A1DF2">
              <w:rPr>
                <w:sz w:val="24"/>
              </w:rPr>
              <w:t xml:space="preserve">activity </w:t>
            </w:r>
            <w:r>
              <w:rPr>
                <w:sz w:val="24"/>
              </w:rPr>
              <w:t>in an</w:t>
            </w:r>
            <w:r w:rsidRPr="003E4CB0">
              <w:rPr>
                <w:sz w:val="24"/>
              </w:rPr>
              <w:t xml:space="preserve"> area relevant to doctoral education </w:t>
            </w:r>
            <w:r w:rsidR="000A1DF2">
              <w:rPr>
                <w:sz w:val="24"/>
              </w:rPr>
              <w:t>or</w:t>
            </w:r>
            <w:r w:rsidRPr="003E4CB0">
              <w:rPr>
                <w:sz w:val="24"/>
              </w:rPr>
              <w:t xml:space="preserve"> in their cognate academic discipline, up to a maximum of </w:t>
            </w:r>
            <w:r w:rsidR="000A1DF2">
              <w:rPr>
                <w:sz w:val="24"/>
              </w:rPr>
              <w:t xml:space="preserve">0.2 </w:t>
            </w:r>
            <w:proofErr w:type="spellStart"/>
            <w:r w:rsidR="000A1DF2">
              <w:rPr>
                <w:sz w:val="24"/>
              </w:rPr>
              <w:t>fte</w:t>
            </w:r>
            <w:proofErr w:type="spellEnd"/>
            <w:r w:rsidR="000A1DF2">
              <w:rPr>
                <w:sz w:val="24"/>
              </w:rPr>
              <w:t>.</w:t>
            </w:r>
          </w:p>
          <w:p w14:paraId="3CEF8D01" w14:textId="6D5D3737" w:rsidR="00F376F6" w:rsidRDefault="002B7C08">
            <w:pPr>
              <w:pStyle w:val="TableParagraph"/>
              <w:numPr>
                <w:ilvl w:val="0"/>
                <w:numId w:val="4"/>
              </w:numPr>
              <w:tabs>
                <w:tab w:val="left" w:pos="467"/>
                <w:tab w:val="left" w:pos="468"/>
              </w:tabs>
              <w:spacing w:before="140" w:line="350" w:lineRule="auto"/>
              <w:ind w:right="182"/>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4D01232C" w14:textId="77777777" w:rsidR="00F376F6" w:rsidRDefault="002B7C08">
            <w:pPr>
              <w:pStyle w:val="TableParagraph"/>
              <w:numPr>
                <w:ilvl w:val="0"/>
                <w:numId w:val="4"/>
              </w:numPr>
              <w:tabs>
                <w:tab w:val="left" w:pos="467"/>
                <w:tab w:val="left" w:pos="468"/>
              </w:tabs>
              <w:spacing w:before="10" w:line="352" w:lineRule="auto"/>
              <w:ind w:right="234"/>
              <w:rPr>
                <w:sz w:val="24"/>
              </w:rPr>
            </w:pPr>
            <w:r>
              <w:rPr>
                <w:sz w:val="24"/>
              </w:rPr>
              <w:t>To undertake health and safety duties and responsibilities appropriate to</w:t>
            </w:r>
            <w:r>
              <w:rPr>
                <w:spacing w:val="-30"/>
                <w:sz w:val="24"/>
              </w:rPr>
              <w:t xml:space="preserve"> </w:t>
            </w:r>
            <w:r>
              <w:rPr>
                <w:sz w:val="24"/>
              </w:rPr>
              <w:t>the role.</w:t>
            </w:r>
          </w:p>
          <w:p w14:paraId="3FAF3796" w14:textId="77777777" w:rsidR="00F376F6" w:rsidRDefault="002B7C08">
            <w:pPr>
              <w:pStyle w:val="TableParagraph"/>
              <w:numPr>
                <w:ilvl w:val="0"/>
                <w:numId w:val="4"/>
              </w:numPr>
              <w:tabs>
                <w:tab w:val="left" w:pos="467"/>
                <w:tab w:val="left" w:pos="468"/>
              </w:tabs>
              <w:spacing w:before="7" w:line="350" w:lineRule="auto"/>
              <w:ind w:right="352"/>
              <w:rPr>
                <w:sz w:val="24"/>
              </w:rPr>
            </w:pPr>
            <w:r>
              <w:rPr>
                <w:sz w:val="24"/>
              </w:rPr>
              <w:t>To work in accordance with the University’s Equal Opportunities Policy</w:t>
            </w:r>
            <w:r>
              <w:rPr>
                <w:spacing w:val="-35"/>
                <w:sz w:val="24"/>
              </w:rPr>
              <w:t xml:space="preserve"> </w:t>
            </w:r>
            <w:r>
              <w:rPr>
                <w:sz w:val="24"/>
              </w:rPr>
              <w:t>and the Staff Charter, promoting equality and diversity in your</w:t>
            </w:r>
            <w:r>
              <w:rPr>
                <w:spacing w:val="-11"/>
                <w:sz w:val="24"/>
              </w:rPr>
              <w:t xml:space="preserve"> </w:t>
            </w:r>
            <w:r>
              <w:rPr>
                <w:sz w:val="24"/>
              </w:rPr>
              <w:t>work.</w:t>
            </w:r>
          </w:p>
          <w:p w14:paraId="181BDE01" w14:textId="6178170A" w:rsidR="00F376F6" w:rsidRDefault="002B7C08" w:rsidP="000308DF">
            <w:pPr>
              <w:pStyle w:val="TableParagraph"/>
              <w:numPr>
                <w:ilvl w:val="0"/>
                <w:numId w:val="4"/>
              </w:numPr>
              <w:tabs>
                <w:tab w:val="left" w:pos="467"/>
                <w:tab w:val="left" w:pos="468"/>
              </w:tabs>
              <w:spacing w:before="13" w:line="350" w:lineRule="auto"/>
              <w:ind w:right="685"/>
              <w:rPr>
                <w:sz w:val="24"/>
              </w:rPr>
            </w:pPr>
            <w:r>
              <w:rPr>
                <w:sz w:val="24"/>
              </w:rPr>
              <w:t>To personally contribute towards reducing the university’s impact on</w:t>
            </w:r>
            <w:r>
              <w:rPr>
                <w:spacing w:val="-31"/>
                <w:sz w:val="24"/>
              </w:rPr>
              <w:t xml:space="preserve"> </w:t>
            </w:r>
            <w:r>
              <w:rPr>
                <w:sz w:val="24"/>
              </w:rPr>
              <w:t>the environment and support actions associated with the UAL</w:t>
            </w:r>
            <w:r>
              <w:rPr>
                <w:spacing w:val="-30"/>
                <w:sz w:val="24"/>
              </w:rPr>
              <w:t xml:space="preserve"> </w:t>
            </w:r>
            <w:r>
              <w:rPr>
                <w:sz w:val="24"/>
              </w:rPr>
              <w:t>Sustainability.</w:t>
            </w:r>
          </w:p>
        </w:tc>
      </w:tr>
    </w:tbl>
    <w:p w14:paraId="7D6743A6" w14:textId="77777777" w:rsidR="00F376F6" w:rsidRDefault="00F376F6">
      <w:pPr>
        <w:rPr>
          <w:sz w:val="24"/>
        </w:rPr>
        <w:sectPr w:rsidR="00F376F6">
          <w:headerReference w:type="default" r:id="rId10"/>
          <w:footerReference w:type="default" r:id="rId11"/>
          <w:type w:val="continuous"/>
          <w:pgSz w:w="11910" w:h="16840"/>
          <w:pgMar w:top="1660" w:right="1540" w:bottom="1140" w:left="1300" w:header="767" w:footer="951" w:gutter="0"/>
          <w:pgNumType w:start="1"/>
          <w:cols w:space="720"/>
        </w:sectPr>
      </w:pPr>
    </w:p>
    <w:p w14:paraId="7D9B30E9" w14:textId="77777777" w:rsidR="00F376F6" w:rsidRDefault="00F376F6">
      <w:pPr>
        <w:spacing w:before="1"/>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1AA27CAF" w14:textId="77777777">
        <w:trPr>
          <w:trHeight w:val="537"/>
        </w:trPr>
        <w:tc>
          <w:tcPr>
            <w:tcW w:w="8790" w:type="dxa"/>
            <w:tcBorders>
              <w:left w:val="single" w:sz="8" w:space="0" w:color="000000"/>
              <w:bottom w:val="single" w:sz="8" w:space="0" w:color="000000"/>
              <w:right w:val="single" w:sz="8" w:space="0" w:color="000000"/>
            </w:tcBorders>
          </w:tcPr>
          <w:p w14:paraId="45B061BD"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48364EA9" w14:textId="77777777">
        <w:trPr>
          <w:trHeight w:val="4603"/>
        </w:trPr>
        <w:tc>
          <w:tcPr>
            <w:tcW w:w="8790" w:type="dxa"/>
            <w:tcBorders>
              <w:top w:val="single" w:sz="8" w:space="0" w:color="000000"/>
              <w:left w:val="single" w:sz="8" w:space="0" w:color="000000"/>
              <w:bottom w:val="single" w:sz="8" w:space="0" w:color="000000"/>
              <w:right w:val="single" w:sz="8" w:space="0" w:color="000000"/>
            </w:tcBorders>
          </w:tcPr>
          <w:p w14:paraId="66960410" w14:textId="77777777" w:rsidR="00F376F6" w:rsidRDefault="002B7C08">
            <w:pPr>
              <w:pStyle w:val="TableParagraph"/>
              <w:numPr>
                <w:ilvl w:val="0"/>
                <w:numId w:val="3"/>
              </w:numPr>
              <w:tabs>
                <w:tab w:val="left" w:pos="467"/>
                <w:tab w:val="left" w:pos="468"/>
              </w:tabs>
              <w:spacing w:line="357" w:lineRule="auto"/>
              <w:ind w:right="358"/>
              <w:rPr>
                <w:sz w:val="24"/>
              </w:rPr>
            </w:pPr>
            <w:r>
              <w:rPr>
                <w:sz w:val="24"/>
              </w:rPr>
              <w:t>To undertake continuous personal and professional development, and to support it for any staff you manage through effective use of the</w:t>
            </w:r>
            <w:r>
              <w:rPr>
                <w:spacing w:val="-43"/>
                <w:sz w:val="24"/>
              </w:rPr>
              <w:t xml:space="preserve"> </w:t>
            </w:r>
            <w:r>
              <w:rPr>
                <w:sz w:val="24"/>
              </w:rPr>
              <w:t>University’s Planning, Review and Appraisal scheme and staff development opportunities.</w:t>
            </w:r>
          </w:p>
          <w:p w14:paraId="2426C663" w14:textId="77777777" w:rsidR="00F376F6" w:rsidRDefault="002B7C08">
            <w:pPr>
              <w:pStyle w:val="TableParagraph"/>
              <w:numPr>
                <w:ilvl w:val="0"/>
                <w:numId w:val="3"/>
              </w:numPr>
              <w:tabs>
                <w:tab w:val="left" w:pos="467"/>
                <w:tab w:val="left" w:pos="468"/>
              </w:tabs>
              <w:spacing w:line="355" w:lineRule="auto"/>
              <w:ind w:right="510"/>
              <w:rPr>
                <w:sz w:val="24"/>
              </w:rPr>
            </w:pPr>
            <w:r>
              <w:rPr>
                <w:sz w:val="24"/>
              </w:rPr>
              <w:t>To make full use of all information and communication technologies in adherence to data protection policies to meet the requirements of the</w:t>
            </w:r>
            <w:r>
              <w:rPr>
                <w:spacing w:val="-27"/>
                <w:sz w:val="24"/>
              </w:rPr>
              <w:t xml:space="preserve"> </w:t>
            </w:r>
            <w:r>
              <w:rPr>
                <w:sz w:val="24"/>
              </w:rPr>
              <w:t>role and to promote organisational</w:t>
            </w:r>
            <w:r>
              <w:rPr>
                <w:spacing w:val="-6"/>
                <w:sz w:val="24"/>
              </w:rPr>
              <w:t xml:space="preserve"> </w:t>
            </w:r>
            <w:r>
              <w:rPr>
                <w:sz w:val="24"/>
              </w:rPr>
              <w:t>effectiveness.</w:t>
            </w:r>
          </w:p>
          <w:p w14:paraId="7E957F01" w14:textId="77777777" w:rsidR="00F376F6" w:rsidRDefault="002B7C08">
            <w:pPr>
              <w:pStyle w:val="TableParagraph"/>
              <w:numPr>
                <w:ilvl w:val="0"/>
                <w:numId w:val="3"/>
              </w:numPr>
              <w:tabs>
                <w:tab w:val="left" w:pos="467"/>
                <w:tab w:val="left" w:pos="468"/>
              </w:tabs>
              <w:spacing w:before="8" w:line="355" w:lineRule="auto"/>
              <w:ind w:right="363"/>
              <w:rPr>
                <w:sz w:val="24"/>
              </w:rPr>
            </w:pPr>
            <w:r>
              <w:rPr>
                <w:sz w:val="24"/>
              </w:rPr>
              <w:t>To conduct all financial matters associated with the role in accordance with the University’s policies and procedures, as laid down in the Financial Regulations.</w:t>
            </w:r>
          </w:p>
        </w:tc>
      </w:tr>
      <w:tr w:rsidR="00F376F6" w14:paraId="1FAA5D29" w14:textId="77777777">
        <w:trPr>
          <w:trHeight w:val="1242"/>
        </w:trPr>
        <w:tc>
          <w:tcPr>
            <w:tcW w:w="8790" w:type="dxa"/>
            <w:tcBorders>
              <w:top w:val="single" w:sz="8" w:space="0" w:color="000000"/>
              <w:left w:val="single" w:sz="8" w:space="0" w:color="000000"/>
              <w:bottom w:val="single" w:sz="8" w:space="0" w:color="000000"/>
              <w:right w:val="single" w:sz="8" w:space="0" w:color="000000"/>
            </w:tcBorders>
          </w:tcPr>
          <w:p w14:paraId="667488A0" w14:textId="7DF52E78" w:rsidR="00F376F6" w:rsidRDefault="002B7C08">
            <w:pPr>
              <w:pStyle w:val="TableParagraph"/>
              <w:spacing w:line="360" w:lineRule="auto"/>
              <w:ind w:right="186"/>
              <w:rPr>
                <w:sz w:val="24"/>
              </w:rPr>
            </w:pPr>
            <w:r>
              <w:rPr>
                <w:b/>
                <w:sz w:val="24"/>
              </w:rPr>
              <w:t xml:space="preserve">Key Working Relationships </w:t>
            </w:r>
            <w:r w:rsidR="007B6814">
              <w:rPr>
                <w:sz w:val="24"/>
              </w:rPr>
              <w:t>–</w:t>
            </w:r>
            <w:r>
              <w:rPr>
                <w:sz w:val="24"/>
              </w:rPr>
              <w:t xml:space="preserve"> </w:t>
            </w:r>
            <w:r w:rsidR="007B6814">
              <w:rPr>
                <w:sz w:val="24"/>
              </w:rPr>
              <w:t xml:space="preserve">DVC Research </w:t>
            </w:r>
            <w:r w:rsidR="00DB7EA4">
              <w:rPr>
                <w:sz w:val="24"/>
              </w:rPr>
              <w:t>Knowledge</w:t>
            </w:r>
            <w:r w:rsidR="007B6814">
              <w:rPr>
                <w:sz w:val="24"/>
              </w:rPr>
              <w:t xml:space="preserve"> Exchange and Enterprise, Director of Research Management and </w:t>
            </w:r>
            <w:r w:rsidR="00DB7EA4">
              <w:rPr>
                <w:sz w:val="24"/>
              </w:rPr>
              <w:t>Administration</w:t>
            </w:r>
            <w:r w:rsidR="007B6814">
              <w:rPr>
                <w:sz w:val="24"/>
              </w:rPr>
              <w:t xml:space="preserve">, Head of PGR, </w:t>
            </w:r>
            <w:r w:rsidR="00DB7EA4">
              <w:rPr>
                <w:sz w:val="24"/>
              </w:rPr>
              <w:t>Head of RNUAL training programme, College Associate Deans of Research.</w:t>
            </w:r>
          </w:p>
        </w:tc>
      </w:tr>
      <w:tr w:rsidR="00F376F6" w14:paraId="71E45DDD" w14:textId="77777777">
        <w:trPr>
          <w:trHeight w:val="3798"/>
        </w:trPr>
        <w:tc>
          <w:tcPr>
            <w:tcW w:w="8790" w:type="dxa"/>
            <w:tcBorders>
              <w:top w:val="single" w:sz="8" w:space="0" w:color="000000"/>
              <w:left w:val="single" w:sz="8" w:space="0" w:color="000000"/>
              <w:bottom w:val="single" w:sz="8" w:space="0" w:color="000000"/>
              <w:right w:val="single" w:sz="8" w:space="0" w:color="000000"/>
            </w:tcBorders>
          </w:tcPr>
          <w:p w14:paraId="65C4AB1C" w14:textId="77777777" w:rsidR="00F376F6" w:rsidRDefault="002B7C08">
            <w:pPr>
              <w:pStyle w:val="TableParagraph"/>
              <w:spacing w:line="274" w:lineRule="exact"/>
              <w:rPr>
                <w:b/>
                <w:sz w:val="24"/>
              </w:rPr>
            </w:pPr>
            <w:r>
              <w:rPr>
                <w:b/>
                <w:sz w:val="24"/>
              </w:rPr>
              <w:t>Specific Management Responsibilities</w:t>
            </w:r>
          </w:p>
          <w:p w14:paraId="44E53A5F" w14:textId="77777777" w:rsidR="00F376F6" w:rsidRDefault="00F376F6">
            <w:pPr>
              <w:pStyle w:val="TableParagraph"/>
              <w:ind w:left="0"/>
              <w:rPr>
                <w:b/>
                <w:sz w:val="26"/>
              </w:rPr>
            </w:pPr>
          </w:p>
          <w:p w14:paraId="28FD2940" w14:textId="77777777" w:rsidR="00F376F6" w:rsidRDefault="00F376F6">
            <w:pPr>
              <w:pStyle w:val="TableParagraph"/>
              <w:ind w:left="0"/>
              <w:rPr>
                <w:b/>
              </w:rPr>
            </w:pPr>
          </w:p>
          <w:p w14:paraId="73D6A439" w14:textId="59739599" w:rsidR="00F376F6" w:rsidRDefault="002B7C08" w:rsidP="00DB7EA4">
            <w:pPr>
              <w:pStyle w:val="TableParagraph"/>
              <w:rPr>
                <w:b/>
                <w:sz w:val="24"/>
              </w:rPr>
            </w:pPr>
            <w:r>
              <w:rPr>
                <w:b/>
                <w:sz w:val="24"/>
              </w:rPr>
              <w:t>Budgets</w:t>
            </w:r>
          </w:p>
          <w:p w14:paraId="423F05CB" w14:textId="6A74A207" w:rsidR="00DB7EA4" w:rsidRPr="00DB7EA4" w:rsidRDefault="00DB7EA4" w:rsidP="00DB7EA4">
            <w:pPr>
              <w:pStyle w:val="TableParagraph"/>
              <w:numPr>
                <w:ilvl w:val="0"/>
                <w:numId w:val="8"/>
              </w:numPr>
              <w:rPr>
                <w:bCs/>
                <w:sz w:val="24"/>
              </w:rPr>
            </w:pPr>
            <w:r w:rsidRPr="00DB7EA4">
              <w:rPr>
                <w:bCs/>
                <w:sz w:val="24"/>
              </w:rPr>
              <w:t>Doctoral School Budget</w:t>
            </w:r>
          </w:p>
          <w:p w14:paraId="6A088E9A" w14:textId="18666EB0" w:rsidR="00F376F6" w:rsidRDefault="002B7C08" w:rsidP="00DB7EA4">
            <w:pPr>
              <w:pStyle w:val="TableParagraph"/>
              <w:spacing w:before="142"/>
              <w:rPr>
                <w:b/>
                <w:sz w:val="24"/>
              </w:rPr>
            </w:pPr>
            <w:r>
              <w:rPr>
                <w:b/>
                <w:sz w:val="24"/>
              </w:rPr>
              <w:t>Staff</w:t>
            </w:r>
          </w:p>
          <w:p w14:paraId="2CB1097D" w14:textId="145B40FD" w:rsidR="00DB7EA4" w:rsidRPr="00DB7EA4" w:rsidRDefault="00DB7EA4" w:rsidP="00DB7EA4">
            <w:pPr>
              <w:pStyle w:val="TableParagraph"/>
              <w:numPr>
                <w:ilvl w:val="0"/>
                <w:numId w:val="6"/>
              </w:numPr>
              <w:spacing w:before="142"/>
              <w:rPr>
                <w:bCs/>
                <w:sz w:val="24"/>
              </w:rPr>
            </w:pPr>
            <w:r w:rsidRPr="00DB7EA4">
              <w:rPr>
                <w:bCs/>
                <w:sz w:val="24"/>
              </w:rPr>
              <w:t xml:space="preserve">Head of RNUAL PGR </w:t>
            </w:r>
            <w:r>
              <w:rPr>
                <w:bCs/>
                <w:sz w:val="24"/>
              </w:rPr>
              <w:t>student t</w:t>
            </w:r>
            <w:r w:rsidRPr="00DB7EA4">
              <w:rPr>
                <w:bCs/>
                <w:sz w:val="24"/>
              </w:rPr>
              <w:t xml:space="preserve">raining </w:t>
            </w:r>
            <w:r>
              <w:rPr>
                <w:bCs/>
                <w:sz w:val="24"/>
              </w:rPr>
              <w:t>p</w:t>
            </w:r>
            <w:r w:rsidRPr="00DB7EA4">
              <w:rPr>
                <w:bCs/>
                <w:sz w:val="24"/>
              </w:rPr>
              <w:t>rogramme</w:t>
            </w:r>
          </w:p>
          <w:p w14:paraId="65538B33" w14:textId="77777777" w:rsidR="00F376F6" w:rsidRDefault="002B7C08">
            <w:pPr>
              <w:pStyle w:val="TableParagraph"/>
              <w:spacing w:before="142"/>
              <w:rPr>
                <w:sz w:val="24"/>
              </w:rPr>
            </w:pPr>
            <w:r>
              <w:rPr>
                <w:b/>
                <w:sz w:val="24"/>
              </w:rPr>
              <w:t xml:space="preserve">Other </w:t>
            </w:r>
            <w:r>
              <w:rPr>
                <w:sz w:val="24"/>
              </w:rPr>
              <w:t>(</w:t>
            </w:r>
            <w:proofErr w:type="gramStart"/>
            <w:r>
              <w:rPr>
                <w:sz w:val="24"/>
              </w:rPr>
              <w:t>e.g.</w:t>
            </w:r>
            <w:proofErr w:type="gramEnd"/>
            <w:r>
              <w:rPr>
                <w:sz w:val="24"/>
              </w:rPr>
              <w:t xml:space="preserve"> accommodation; equipment)</w:t>
            </w:r>
          </w:p>
          <w:p w14:paraId="51101AE3" w14:textId="77777777" w:rsidR="00F376F6" w:rsidRDefault="002B7C08">
            <w:pPr>
              <w:pStyle w:val="TableParagraph"/>
              <w:spacing w:before="140"/>
              <w:ind w:left="467"/>
              <w:rPr>
                <w:rFonts w:ascii="Symbol" w:hAnsi="Symbol"/>
                <w:sz w:val="24"/>
              </w:rPr>
            </w:pPr>
            <w:r>
              <w:rPr>
                <w:rFonts w:ascii="Symbol" w:hAnsi="Symbol"/>
                <w:sz w:val="24"/>
              </w:rPr>
              <w:t></w:t>
            </w:r>
          </w:p>
        </w:tc>
      </w:tr>
      <w:tr w:rsidR="00F376F6" w14:paraId="25EE5BCB" w14:textId="77777777">
        <w:trPr>
          <w:trHeight w:val="2623"/>
        </w:trPr>
        <w:tc>
          <w:tcPr>
            <w:tcW w:w="8790" w:type="dxa"/>
            <w:tcBorders>
              <w:top w:val="single" w:sz="8" w:space="0" w:color="000000"/>
              <w:left w:val="single" w:sz="8" w:space="0" w:color="000000"/>
              <w:bottom w:val="single" w:sz="8" w:space="0" w:color="000000"/>
              <w:right w:val="single" w:sz="8" w:space="0" w:color="000000"/>
            </w:tcBorders>
          </w:tcPr>
          <w:p w14:paraId="60F1DA99" w14:textId="77777777" w:rsidR="00F376F6" w:rsidRDefault="00F376F6">
            <w:pPr>
              <w:pStyle w:val="TableParagraph"/>
              <w:ind w:left="0"/>
              <w:rPr>
                <w:b/>
                <w:sz w:val="26"/>
              </w:rPr>
            </w:pPr>
          </w:p>
          <w:p w14:paraId="395C0E67" w14:textId="77777777" w:rsidR="00F376F6" w:rsidRDefault="00F376F6">
            <w:pPr>
              <w:pStyle w:val="TableParagraph"/>
              <w:spacing w:before="9"/>
              <w:ind w:left="0"/>
              <w:rPr>
                <w:b/>
                <w:sz w:val="21"/>
              </w:rPr>
            </w:pPr>
          </w:p>
          <w:p w14:paraId="1BA151B3" w14:textId="77777777" w:rsidR="00F376F6" w:rsidRDefault="002B7C08">
            <w:pPr>
              <w:pStyle w:val="TableParagraph"/>
              <w:tabs>
                <w:tab w:val="left" w:pos="6264"/>
              </w:tabs>
              <w:spacing w:before="1"/>
              <w:rPr>
                <w:sz w:val="24"/>
              </w:rPr>
            </w:pPr>
            <w:r>
              <w:rPr>
                <w:sz w:val="24"/>
              </w:rPr>
              <w:t>Signed</w:t>
            </w:r>
            <w:r>
              <w:rPr>
                <w:sz w:val="24"/>
                <w:u w:val="single"/>
              </w:rPr>
              <w:t xml:space="preserve"> </w:t>
            </w:r>
            <w:r>
              <w:rPr>
                <w:sz w:val="24"/>
                <w:u w:val="single"/>
              </w:rPr>
              <w:tab/>
            </w:r>
            <w:r>
              <w:rPr>
                <w:sz w:val="24"/>
              </w:rPr>
              <w:t>(Recruiting</w:t>
            </w:r>
            <w:r>
              <w:rPr>
                <w:spacing w:val="-4"/>
                <w:sz w:val="24"/>
              </w:rPr>
              <w:t xml:space="preserve"> </w:t>
            </w:r>
            <w:r>
              <w:rPr>
                <w:sz w:val="24"/>
              </w:rPr>
              <w:t>Manager)</w:t>
            </w:r>
          </w:p>
          <w:p w14:paraId="16C7F00F" w14:textId="77777777" w:rsidR="00F376F6" w:rsidRDefault="00F376F6">
            <w:pPr>
              <w:pStyle w:val="TableParagraph"/>
              <w:ind w:left="0"/>
              <w:rPr>
                <w:b/>
                <w:sz w:val="26"/>
              </w:rPr>
            </w:pPr>
          </w:p>
          <w:p w14:paraId="0F51337D" w14:textId="77777777" w:rsidR="00F376F6" w:rsidRDefault="00F376F6">
            <w:pPr>
              <w:pStyle w:val="TableParagraph"/>
              <w:ind w:left="0"/>
              <w:rPr>
                <w:b/>
                <w:sz w:val="26"/>
              </w:rPr>
            </w:pPr>
          </w:p>
          <w:p w14:paraId="3930F330" w14:textId="7777777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w:t>
            </w:r>
            <w:r>
              <w:rPr>
                <w:sz w:val="24"/>
                <w:u w:val="single"/>
              </w:rPr>
              <w:t xml:space="preserve"> </w:t>
            </w:r>
            <w:r>
              <w:rPr>
                <w:sz w:val="24"/>
                <w:u w:val="single"/>
              </w:rPr>
              <w:tab/>
              <w:t>[</w:t>
            </w:r>
            <w:r>
              <w:rPr>
                <w:sz w:val="24"/>
              </w:rPr>
              <w:t>Type in</w:t>
            </w:r>
            <w:r>
              <w:rPr>
                <w:spacing w:val="-3"/>
                <w:sz w:val="24"/>
              </w:rPr>
              <w:t xml:space="preserve"> </w:t>
            </w:r>
            <w:r>
              <w:rPr>
                <w:sz w:val="24"/>
              </w:rPr>
              <w:t>Details]</w:t>
            </w:r>
          </w:p>
        </w:tc>
      </w:tr>
    </w:tbl>
    <w:p w14:paraId="7A50FA55" w14:textId="77777777" w:rsidR="00FC5EEF" w:rsidRDefault="00FC5EEF">
      <w:pPr>
        <w:sectPr w:rsidR="00FC5EEF">
          <w:pgSz w:w="11910" w:h="16840"/>
          <w:pgMar w:top="1660" w:right="1540" w:bottom="1140" w:left="1300" w:header="767" w:footer="951" w:gutter="0"/>
          <w:cols w:space="720"/>
        </w:sectPr>
      </w:pPr>
    </w:p>
    <w:p w14:paraId="5637DF63" w14:textId="089F420C" w:rsidR="00FC5EEF" w:rsidRDefault="00FC5EEF" w:rsidP="009130B7">
      <w:pPr>
        <w:pStyle w:val="Heading1"/>
      </w:pPr>
      <w:r>
        <w:lastRenderedPageBreak/>
        <w:t>Person Specification</w:t>
      </w:r>
    </w:p>
    <w:p w14:paraId="3881CDDB" w14:textId="4B972B32" w:rsidR="00FC5EEF" w:rsidRDefault="00FC5EEF" w:rsidP="007B07A5">
      <w:pPr>
        <w:pStyle w:val="Heading1"/>
      </w:pPr>
      <w:r w:rsidRPr="007B07A5">
        <w:t>Job</w:t>
      </w:r>
      <w:r>
        <w:t xml:space="preserve"> Title – </w:t>
      </w:r>
      <w:r>
        <w:rPr>
          <w:b w:val="0"/>
          <w:sz w:val="24"/>
          <w:szCs w:val="24"/>
        </w:rPr>
        <w:t>Dean of the Doctoral School</w:t>
      </w:r>
    </w:p>
    <w:p w14:paraId="66C30BD2" w14:textId="072097B1" w:rsidR="00FC5EEF" w:rsidRPr="007B07A5" w:rsidRDefault="00FC5EEF" w:rsidP="007B07A5">
      <w:pPr>
        <w:pStyle w:val="Heading1"/>
      </w:pPr>
      <w:r>
        <w:t xml:space="preserve">Grade - </w:t>
      </w:r>
      <w:r w:rsidR="000308DF">
        <w:t>Individual</w:t>
      </w:r>
    </w:p>
    <w:tbl>
      <w:tblPr>
        <w:tblStyle w:val="TableGrid"/>
        <w:tblW w:w="0" w:type="auto"/>
        <w:tblLook w:val="04A0" w:firstRow="1" w:lastRow="0" w:firstColumn="1" w:lastColumn="0" w:noHBand="0" w:noVBand="1"/>
        <w:tblCaption w:val="Person Specification - Dean "/>
        <w:tblDescription w:val="Table provides Person Specification template to be utilised for positions assigned to the grade for a Dean."/>
      </w:tblPr>
      <w:tblGrid>
        <w:gridCol w:w="3750"/>
        <w:gridCol w:w="5310"/>
      </w:tblGrid>
      <w:tr w:rsidR="00FC5EEF" w:rsidRPr="007B07A5" w14:paraId="72CDC2D2" w14:textId="77777777" w:rsidTr="4B63F14A">
        <w:trPr>
          <w:trHeight w:val="410"/>
          <w:tblHeader/>
        </w:trPr>
        <w:tc>
          <w:tcPr>
            <w:tcW w:w="9180" w:type="dxa"/>
            <w:gridSpan w:val="2"/>
            <w:shd w:val="clear" w:color="auto" w:fill="000000" w:themeFill="text1"/>
          </w:tcPr>
          <w:p w14:paraId="63A95925" w14:textId="77777777" w:rsidR="00FC5EEF" w:rsidRPr="00D93252" w:rsidRDefault="00FC5EEF" w:rsidP="00A70738">
            <w:pPr>
              <w:spacing w:line="360" w:lineRule="auto"/>
              <w:jc w:val="center"/>
              <w:rPr>
                <w:color w:val="262626" w:themeColor="text1" w:themeTint="D9"/>
                <w:sz w:val="28"/>
                <w:szCs w:val="28"/>
              </w:rPr>
            </w:pPr>
            <w:r w:rsidRPr="00D93252">
              <w:rPr>
                <w:sz w:val="28"/>
                <w:szCs w:val="28"/>
              </w:rPr>
              <w:t>Person Specification</w:t>
            </w:r>
          </w:p>
        </w:tc>
      </w:tr>
      <w:tr w:rsidR="00FC5EEF" w:rsidRPr="007B07A5" w14:paraId="5A47AE8B" w14:textId="77777777" w:rsidTr="4B63F14A">
        <w:tc>
          <w:tcPr>
            <w:tcW w:w="3794" w:type="dxa"/>
            <w:vAlign w:val="center"/>
          </w:tcPr>
          <w:p w14:paraId="5AB7DF15" w14:textId="77777777" w:rsidR="00FC5EEF" w:rsidRPr="007B07A5" w:rsidRDefault="00FC5EEF" w:rsidP="007B07A5">
            <w:pPr>
              <w:spacing w:line="360" w:lineRule="auto"/>
              <w:rPr>
                <w:sz w:val="24"/>
                <w:szCs w:val="24"/>
              </w:rPr>
            </w:pPr>
            <w:r w:rsidRPr="007B07A5">
              <w:rPr>
                <w:sz w:val="24"/>
                <w:szCs w:val="24"/>
              </w:rPr>
              <w:t>Specialist Knowledge/ Qualifications</w:t>
            </w:r>
          </w:p>
        </w:tc>
        <w:tc>
          <w:tcPr>
            <w:tcW w:w="5386" w:type="dxa"/>
            <w:vAlign w:val="center"/>
          </w:tcPr>
          <w:p w14:paraId="2F0DD620" w14:textId="556389CF" w:rsidR="00FC5EEF" w:rsidRPr="007B07A5" w:rsidRDefault="00FC5EEF" w:rsidP="4B63F14A">
            <w:pPr>
              <w:spacing w:line="360" w:lineRule="auto"/>
              <w:rPr>
                <w:sz w:val="24"/>
                <w:szCs w:val="24"/>
              </w:rPr>
            </w:pPr>
          </w:p>
          <w:p w14:paraId="27EC4440" w14:textId="52444A54" w:rsidR="00FC5EEF" w:rsidRPr="007B07A5" w:rsidRDefault="707C4B01" w:rsidP="4B63F14A">
            <w:pPr>
              <w:pStyle w:val="ListParagraph"/>
              <w:numPr>
                <w:ilvl w:val="0"/>
                <w:numId w:val="2"/>
              </w:numPr>
              <w:spacing w:line="276" w:lineRule="auto"/>
              <w:rPr>
                <w:color w:val="000000" w:themeColor="text1"/>
                <w:sz w:val="24"/>
                <w:szCs w:val="24"/>
              </w:rPr>
            </w:pPr>
            <w:r w:rsidRPr="4B63F14A">
              <w:rPr>
                <w:color w:val="000000" w:themeColor="text1"/>
                <w:sz w:val="24"/>
                <w:szCs w:val="24"/>
              </w:rPr>
              <w:t>PhD in any disciplinary field.</w:t>
            </w:r>
          </w:p>
          <w:p w14:paraId="56F32BDD" w14:textId="00A544AE" w:rsidR="00FC5EEF" w:rsidRPr="007B07A5" w:rsidRDefault="707C4B01" w:rsidP="4B63F14A">
            <w:pPr>
              <w:pStyle w:val="ListParagraph"/>
              <w:numPr>
                <w:ilvl w:val="0"/>
                <w:numId w:val="2"/>
              </w:numPr>
              <w:spacing w:line="276" w:lineRule="auto"/>
              <w:rPr>
                <w:color w:val="000000" w:themeColor="text1"/>
                <w:sz w:val="24"/>
                <w:szCs w:val="24"/>
              </w:rPr>
            </w:pPr>
            <w:r w:rsidRPr="4B63F14A">
              <w:rPr>
                <w:color w:val="000000" w:themeColor="text1"/>
                <w:sz w:val="24"/>
                <w:szCs w:val="24"/>
              </w:rPr>
              <w:t>Demonstrable knowledge of academic provision in universities.</w:t>
            </w:r>
          </w:p>
          <w:p w14:paraId="0863975C" w14:textId="7709BC72" w:rsidR="00FC5EEF" w:rsidRPr="007B07A5" w:rsidRDefault="707C4B01" w:rsidP="4B63F14A">
            <w:pPr>
              <w:pStyle w:val="ListParagraph"/>
              <w:numPr>
                <w:ilvl w:val="0"/>
                <w:numId w:val="2"/>
              </w:numPr>
              <w:spacing w:line="276" w:lineRule="auto"/>
              <w:rPr>
                <w:color w:val="000000" w:themeColor="text1"/>
                <w:sz w:val="24"/>
                <w:szCs w:val="24"/>
              </w:rPr>
            </w:pPr>
            <w:r w:rsidRPr="4B63F14A">
              <w:rPr>
                <w:color w:val="000000" w:themeColor="text1"/>
                <w:sz w:val="24"/>
                <w:szCs w:val="24"/>
              </w:rPr>
              <w:t>An active researcher, in the field of PGR pedagogy (desirable), with a track record of high-quality outputs.</w:t>
            </w:r>
          </w:p>
          <w:p w14:paraId="7FEA4AE2" w14:textId="053842D7" w:rsidR="00FC5EEF" w:rsidRPr="007B07A5" w:rsidRDefault="707C4B01" w:rsidP="4B63F14A">
            <w:pPr>
              <w:pStyle w:val="ListParagraph"/>
              <w:numPr>
                <w:ilvl w:val="0"/>
                <w:numId w:val="2"/>
              </w:numPr>
              <w:spacing w:line="276" w:lineRule="auto"/>
              <w:rPr>
                <w:color w:val="000000" w:themeColor="text1"/>
                <w:sz w:val="24"/>
                <w:szCs w:val="24"/>
              </w:rPr>
            </w:pPr>
            <w:r w:rsidRPr="4B63F14A">
              <w:rPr>
                <w:color w:val="000000" w:themeColor="text1"/>
                <w:sz w:val="24"/>
                <w:szCs w:val="24"/>
              </w:rPr>
              <w:t>Holding a nationally recognised teaching qualification (desirable).</w:t>
            </w:r>
          </w:p>
        </w:tc>
      </w:tr>
      <w:tr w:rsidR="00FC5EEF" w:rsidRPr="007B07A5" w14:paraId="2C9C0321" w14:textId="77777777" w:rsidTr="4B63F14A">
        <w:tc>
          <w:tcPr>
            <w:tcW w:w="3794" w:type="dxa"/>
            <w:vAlign w:val="center"/>
          </w:tcPr>
          <w:p w14:paraId="0B0000D0" w14:textId="77777777" w:rsidR="00FC5EEF" w:rsidRPr="007B07A5" w:rsidRDefault="00FC5EEF" w:rsidP="007B07A5">
            <w:pPr>
              <w:spacing w:line="360" w:lineRule="auto"/>
              <w:rPr>
                <w:sz w:val="24"/>
                <w:szCs w:val="24"/>
              </w:rPr>
            </w:pPr>
            <w:r w:rsidRPr="007B07A5">
              <w:rPr>
                <w:sz w:val="24"/>
                <w:szCs w:val="24"/>
              </w:rPr>
              <w:t>Relevant Experience</w:t>
            </w:r>
          </w:p>
        </w:tc>
        <w:tc>
          <w:tcPr>
            <w:tcW w:w="5386" w:type="dxa"/>
            <w:vAlign w:val="center"/>
          </w:tcPr>
          <w:p w14:paraId="1A2BD7C6" w14:textId="77777777" w:rsidR="00FC5EEF" w:rsidRPr="007B07A5" w:rsidRDefault="00FC5EEF" w:rsidP="007B07A5">
            <w:pPr>
              <w:spacing w:line="360" w:lineRule="auto"/>
              <w:rPr>
                <w:sz w:val="24"/>
                <w:szCs w:val="24"/>
              </w:rPr>
            </w:pPr>
          </w:p>
          <w:p w14:paraId="4D03D459" w14:textId="72A3E449" w:rsidR="00FC5EEF" w:rsidRPr="007B07A5" w:rsidRDefault="21483F14" w:rsidP="4B63F14A">
            <w:pPr>
              <w:pStyle w:val="ListParagraph"/>
              <w:numPr>
                <w:ilvl w:val="0"/>
                <w:numId w:val="1"/>
              </w:numPr>
              <w:spacing w:line="276" w:lineRule="auto"/>
              <w:rPr>
                <w:color w:val="000000" w:themeColor="text1"/>
                <w:sz w:val="24"/>
                <w:szCs w:val="24"/>
              </w:rPr>
            </w:pPr>
            <w:r w:rsidRPr="4B63F14A">
              <w:rPr>
                <w:color w:val="000000" w:themeColor="text1"/>
                <w:sz w:val="24"/>
                <w:szCs w:val="24"/>
              </w:rPr>
              <w:t xml:space="preserve">A record of leadership and commitment to excellence in Post Graduate Research including student experience. </w:t>
            </w:r>
          </w:p>
          <w:p w14:paraId="17B8EE55" w14:textId="7B1867D0" w:rsidR="00FC5EEF" w:rsidRPr="007B07A5" w:rsidRDefault="21483F14" w:rsidP="4B63F14A">
            <w:pPr>
              <w:pStyle w:val="ListParagraph"/>
              <w:numPr>
                <w:ilvl w:val="0"/>
                <w:numId w:val="1"/>
              </w:numPr>
              <w:spacing w:line="276" w:lineRule="auto"/>
              <w:rPr>
                <w:color w:val="000000" w:themeColor="text1"/>
                <w:sz w:val="24"/>
                <w:szCs w:val="24"/>
              </w:rPr>
            </w:pPr>
            <w:r w:rsidRPr="4B63F14A">
              <w:rPr>
                <w:color w:val="000000" w:themeColor="text1"/>
                <w:sz w:val="24"/>
                <w:szCs w:val="24"/>
              </w:rPr>
              <w:t>An understanding of the contextual and strategic issues affecting PGR programme delivery in the UK.</w:t>
            </w:r>
          </w:p>
        </w:tc>
      </w:tr>
      <w:tr w:rsidR="00FC5EEF" w:rsidRPr="007B07A5" w14:paraId="14A92151" w14:textId="77777777" w:rsidTr="4B63F14A">
        <w:tc>
          <w:tcPr>
            <w:tcW w:w="3794" w:type="dxa"/>
            <w:vAlign w:val="center"/>
          </w:tcPr>
          <w:p w14:paraId="7830D111" w14:textId="77777777" w:rsidR="00FC5EEF" w:rsidRPr="007B07A5" w:rsidRDefault="00FC5EEF" w:rsidP="007B07A5">
            <w:pPr>
              <w:spacing w:line="360" w:lineRule="auto"/>
              <w:rPr>
                <w:sz w:val="24"/>
                <w:szCs w:val="24"/>
              </w:rPr>
            </w:pPr>
            <w:r w:rsidRPr="007B07A5">
              <w:rPr>
                <w:sz w:val="24"/>
                <w:szCs w:val="24"/>
              </w:rPr>
              <w:t>Communication Skills</w:t>
            </w:r>
          </w:p>
        </w:tc>
        <w:tc>
          <w:tcPr>
            <w:tcW w:w="5386" w:type="dxa"/>
            <w:vAlign w:val="center"/>
          </w:tcPr>
          <w:p w14:paraId="03D16F57" w14:textId="77777777" w:rsidR="00FC5EEF" w:rsidRPr="007B07A5" w:rsidRDefault="00FC5EEF" w:rsidP="007B07A5">
            <w:pPr>
              <w:spacing w:line="360" w:lineRule="auto"/>
              <w:rPr>
                <w:sz w:val="24"/>
                <w:szCs w:val="24"/>
              </w:rPr>
            </w:pPr>
            <w:r w:rsidRPr="007B07A5">
              <w:rPr>
                <w:rFonts w:eastAsia="Times New Roman"/>
                <w:color w:val="000000"/>
                <w:sz w:val="24"/>
                <w:szCs w:val="24"/>
              </w:rPr>
              <w:t>Communicates in a compelling and influential way. Adapts the style and message to a diverse internal or external audience in an inclusive and accessible way.</w:t>
            </w:r>
          </w:p>
        </w:tc>
      </w:tr>
      <w:tr w:rsidR="00FC5EEF" w:rsidRPr="007B07A5" w14:paraId="05EA02A7" w14:textId="77777777" w:rsidTr="4B63F14A">
        <w:tc>
          <w:tcPr>
            <w:tcW w:w="3794" w:type="dxa"/>
            <w:vAlign w:val="center"/>
          </w:tcPr>
          <w:p w14:paraId="376FE98F" w14:textId="77777777" w:rsidR="00FC5EEF" w:rsidRPr="007B07A5" w:rsidRDefault="00FC5EEF" w:rsidP="007B07A5">
            <w:pPr>
              <w:spacing w:line="360" w:lineRule="auto"/>
              <w:rPr>
                <w:sz w:val="24"/>
                <w:szCs w:val="24"/>
              </w:rPr>
            </w:pPr>
            <w:r w:rsidRPr="007B07A5">
              <w:rPr>
                <w:sz w:val="24"/>
                <w:szCs w:val="24"/>
              </w:rPr>
              <w:t>Leadership and Management</w:t>
            </w:r>
          </w:p>
        </w:tc>
        <w:tc>
          <w:tcPr>
            <w:tcW w:w="5386" w:type="dxa"/>
            <w:vAlign w:val="center"/>
          </w:tcPr>
          <w:p w14:paraId="5B5FD137" w14:textId="01610684" w:rsidR="00FC5EEF" w:rsidRPr="007B07A5" w:rsidRDefault="00FC5EEF" w:rsidP="007B07A5">
            <w:pPr>
              <w:spacing w:line="360" w:lineRule="auto"/>
              <w:rPr>
                <w:rFonts w:eastAsia="Times New Roman"/>
                <w:color w:val="000000"/>
                <w:sz w:val="24"/>
                <w:szCs w:val="24"/>
              </w:rPr>
            </w:pPr>
            <w:r w:rsidRPr="007B07A5">
              <w:rPr>
                <w:rFonts w:eastAsia="Times New Roman"/>
                <w:color w:val="000000"/>
                <w:sz w:val="24"/>
                <w:szCs w:val="24"/>
              </w:rPr>
              <w:t>Motivates and leads effectively, setting the direction of one or more function and promoting collaboration across formal boundaries</w:t>
            </w:r>
            <w:r>
              <w:rPr>
                <w:rFonts w:eastAsia="Times New Roman"/>
                <w:color w:val="000000"/>
                <w:sz w:val="24"/>
                <w:szCs w:val="24"/>
              </w:rPr>
              <w:t>.</w:t>
            </w:r>
          </w:p>
        </w:tc>
      </w:tr>
      <w:tr w:rsidR="00FC5EEF" w:rsidRPr="007B07A5" w14:paraId="38F44DD2" w14:textId="77777777" w:rsidTr="4B63F14A">
        <w:tc>
          <w:tcPr>
            <w:tcW w:w="3794" w:type="dxa"/>
            <w:vMerge w:val="restart"/>
            <w:vAlign w:val="center"/>
          </w:tcPr>
          <w:p w14:paraId="7D7461B5" w14:textId="77777777" w:rsidR="00FC5EEF" w:rsidRPr="007B07A5" w:rsidRDefault="00FC5EEF" w:rsidP="007B07A5">
            <w:pPr>
              <w:spacing w:line="360" w:lineRule="auto"/>
              <w:rPr>
                <w:sz w:val="24"/>
                <w:szCs w:val="24"/>
              </w:rPr>
            </w:pPr>
            <w:r w:rsidRPr="007B07A5">
              <w:rPr>
                <w:sz w:val="24"/>
                <w:szCs w:val="24"/>
              </w:rPr>
              <w:t>Research, Teaching and Learning</w:t>
            </w:r>
          </w:p>
        </w:tc>
        <w:tc>
          <w:tcPr>
            <w:tcW w:w="5386" w:type="dxa"/>
            <w:vAlign w:val="center"/>
          </w:tcPr>
          <w:p w14:paraId="74D560ED" w14:textId="2126FB76" w:rsidR="00FC5EEF" w:rsidRPr="007B07A5" w:rsidRDefault="00FC5EEF" w:rsidP="007B07A5">
            <w:pPr>
              <w:spacing w:line="360" w:lineRule="auto"/>
              <w:rPr>
                <w:sz w:val="24"/>
                <w:szCs w:val="24"/>
              </w:rPr>
            </w:pPr>
            <w:r w:rsidRPr="007B07A5">
              <w:rPr>
                <w:rFonts w:eastAsia="Times New Roman"/>
                <w:color w:val="000000"/>
                <w:sz w:val="24"/>
                <w:szCs w:val="24"/>
              </w:rPr>
              <w:t xml:space="preserve">Applies innovative approaches in leading academic programmes, teaching, learning or professional practice to support excellent teaching, </w:t>
            </w:r>
            <w:proofErr w:type="gramStart"/>
            <w:r w:rsidRPr="007B07A5">
              <w:rPr>
                <w:rFonts w:eastAsia="Times New Roman"/>
                <w:color w:val="000000"/>
                <w:sz w:val="24"/>
                <w:szCs w:val="24"/>
              </w:rPr>
              <w:t>pedagogy</w:t>
            </w:r>
            <w:proofErr w:type="gramEnd"/>
            <w:r w:rsidRPr="007B07A5">
              <w:rPr>
                <w:rFonts w:eastAsia="Times New Roman"/>
                <w:color w:val="000000"/>
                <w:sz w:val="24"/>
                <w:szCs w:val="24"/>
              </w:rPr>
              <w:t xml:space="preserve"> and inclusivity</w:t>
            </w:r>
            <w:r>
              <w:rPr>
                <w:color w:val="000000"/>
                <w:sz w:val="24"/>
                <w:szCs w:val="24"/>
              </w:rPr>
              <w:t>.</w:t>
            </w:r>
          </w:p>
        </w:tc>
      </w:tr>
      <w:tr w:rsidR="00FC5EEF" w:rsidRPr="007B07A5" w14:paraId="399EC62A" w14:textId="77777777" w:rsidTr="4B63F14A">
        <w:tc>
          <w:tcPr>
            <w:tcW w:w="3794" w:type="dxa"/>
            <w:vMerge/>
            <w:vAlign w:val="center"/>
          </w:tcPr>
          <w:p w14:paraId="0F5A5685" w14:textId="77777777" w:rsidR="00FC5EEF" w:rsidRPr="007B07A5" w:rsidRDefault="00FC5EEF" w:rsidP="007B07A5">
            <w:pPr>
              <w:spacing w:line="360" w:lineRule="auto"/>
              <w:rPr>
                <w:sz w:val="24"/>
                <w:szCs w:val="24"/>
              </w:rPr>
            </w:pPr>
          </w:p>
        </w:tc>
        <w:tc>
          <w:tcPr>
            <w:tcW w:w="5386" w:type="dxa"/>
            <w:vAlign w:val="center"/>
          </w:tcPr>
          <w:p w14:paraId="17B5EF01" w14:textId="1A46A815" w:rsidR="00FC5EEF" w:rsidRPr="007B07A5" w:rsidRDefault="00FC5EEF" w:rsidP="007B07A5">
            <w:pPr>
              <w:spacing w:line="360" w:lineRule="auto"/>
              <w:rPr>
                <w:rFonts w:eastAsia="Times New Roman"/>
                <w:color w:val="000000"/>
                <w:sz w:val="24"/>
                <w:szCs w:val="24"/>
              </w:rPr>
            </w:pPr>
            <w:r w:rsidRPr="007B07A5">
              <w:rPr>
                <w:rFonts w:eastAsia="Times New Roman"/>
                <w:color w:val="000000"/>
                <w:sz w:val="24"/>
                <w:szCs w:val="24"/>
              </w:rPr>
              <w:t>Applies own research to develop l</w:t>
            </w:r>
            <w:r>
              <w:rPr>
                <w:rFonts w:eastAsia="Times New Roman"/>
                <w:color w:val="000000"/>
                <w:sz w:val="24"/>
                <w:szCs w:val="24"/>
              </w:rPr>
              <w:t>earning and assessment practice.</w:t>
            </w:r>
          </w:p>
        </w:tc>
      </w:tr>
      <w:tr w:rsidR="00FC5EEF" w:rsidRPr="007B07A5" w14:paraId="51457855" w14:textId="77777777" w:rsidTr="4B63F14A">
        <w:tc>
          <w:tcPr>
            <w:tcW w:w="3794" w:type="dxa"/>
            <w:vAlign w:val="center"/>
          </w:tcPr>
          <w:p w14:paraId="1B251A11" w14:textId="77777777" w:rsidR="00FC5EEF" w:rsidRPr="007B07A5" w:rsidRDefault="00FC5EEF" w:rsidP="007B07A5">
            <w:pPr>
              <w:spacing w:line="360" w:lineRule="auto"/>
              <w:rPr>
                <w:sz w:val="24"/>
                <w:szCs w:val="24"/>
              </w:rPr>
            </w:pPr>
            <w:r w:rsidRPr="007B07A5">
              <w:rPr>
                <w:sz w:val="24"/>
                <w:szCs w:val="24"/>
              </w:rPr>
              <w:lastRenderedPageBreak/>
              <w:t>Professional Practice</w:t>
            </w:r>
          </w:p>
        </w:tc>
        <w:tc>
          <w:tcPr>
            <w:tcW w:w="5386" w:type="dxa"/>
            <w:vAlign w:val="center"/>
          </w:tcPr>
          <w:p w14:paraId="7965CBB9" w14:textId="77777777" w:rsidR="00FC5EEF" w:rsidRPr="007B07A5" w:rsidRDefault="00FC5EEF" w:rsidP="007B07A5">
            <w:pPr>
              <w:spacing w:line="360" w:lineRule="auto"/>
              <w:rPr>
                <w:rFonts w:eastAsia="Times New Roman"/>
                <w:color w:val="000000"/>
                <w:sz w:val="24"/>
                <w:szCs w:val="24"/>
              </w:rPr>
            </w:pPr>
            <w:r w:rsidRPr="007B07A5">
              <w:rPr>
                <w:rFonts w:eastAsia="Times New Roman"/>
                <w:color w:val="000000"/>
                <w:sz w:val="24"/>
                <w:szCs w:val="24"/>
              </w:rPr>
              <w:t>Contributes to advancing professional practice/research or scholarly acti</w:t>
            </w:r>
            <w:r>
              <w:rPr>
                <w:rFonts w:eastAsia="Times New Roman"/>
                <w:color w:val="000000"/>
                <w:sz w:val="24"/>
                <w:szCs w:val="24"/>
              </w:rPr>
              <w:t>vity in own area of specialism.</w:t>
            </w:r>
          </w:p>
        </w:tc>
      </w:tr>
      <w:tr w:rsidR="00FC5EEF" w:rsidRPr="007B07A5" w14:paraId="36662161" w14:textId="77777777" w:rsidTr="4B63F14A">
        <w:tc>
          <w:tcPr>
            <w:tcW w:w="3794" w:type="dxa"/>
            <w:vAlign w:val="center"/>
          </w:tcPr>
          <w:p w14:paraId="71264618" w14:textId="77777777" w:rsidR="00FC5EEF" w:rsidRPr="007B07A5" w:rsidRDefault="00FC5EEF" w:rsidP="007B07A5">
            <w:pPr>
              <w:spacing w:line="360" w:lineRule="auto"/>
              <w:rPr>
                <w:sz w:val="24"/>
                <w:szCs w:val="24"/>
              </w:rPr>
            </w:pPr>
            <w:r>
              <w:rPr>
                <w:sz w:val="24"/>
                <w:szCs w:val="24"/>
              </w:rPr>
              <w:t>Planning and Managing R</w:t>
            </w:r>
            <w:r w:rsidRPr="007B07A5">
              <w:rPr>
                <w:sz w:val="24"/>
                <w:szCs w:val="24"/>
              </w:rPr>
              <w:t>esources</w:t>
            </w:r>
          </w:p>
        </w:tc>
        <w:tc>
          <w:tcPr>
            <w:tcW w:w="5386" w:type="dxa"/>
            <w:vAlign w:val="center"/>
          </w:tcPr>
          <w:p w14:paraId="645BF22A" w14:textId="04DDAF91" w:rsidR="00FC5EEF" w:rsidRPr="007B07A5" w:rsidRDefault="00FC5EEF" w:rsidP="007B07A5">
            <w:pPr>
              <w:spacing w:line="360" w:lineRule="auto"/>
              <w:rPr>
                <w:sz w:val="24"/>
                <w:szCs w:val="24"/>
              </w:rPr>
            </w:pPr>
            <w:r w:rsidRPr="007B07A5">
              <w:rPr>
                <w:rFonts w:eastAsia="Times New Roman"/>
                <w:color w:val="000000"/>
                <w:sz w:val="24"/>
                <w:szCs w:val="24"/>
              </w:rPr>
              <w:t xml:space="preserve">Effectively plans, </w:t>
            </w:r>
            <w:proofErr w:type="gramStart"/>
            <w:r w:rsidRPr="007B07A5">
              <w:rPr>
                <w:rFonts w:eastAsia="Times New Roman"/>
                <w:color w:val="000000"/>
                <w:sz w:val="24"/>
                <w:szCs w:val="24"/>
              </w:rPr>
              <w:t>prioritises</w:t>
            </w:r>
            <w:proofErr w:type="gramEnd"/>
            <w:r w:rsidRPr="007B07A5">
              <w:rPr>
                <w:rFonts w:eastAsia="Times New Roman"/>
                <w:color w:val="000000"/>
                <w:sz w:val="24"/>
                <w:szCs w:val="24"/>
              </w:rPr>
              <w:t xml:space="preserve"> and manages complex projects or activities to achieve long term strategic objectives</w:t>
            </w:r>
            <w:r>
              <w:rPr>
                <w:rFonts w:eastAsia="Times New Roman"/>
                <w:color w:val="000000"/>
                <w:sz w:val="24"/>
                <w:szCs w:val="24"/>
              </w:rPr>
              <w:t>.</w:t>
            </w:r>
          </w:p>
        </w:tc>
      </w:tr>
      <w:tr w:rsidR="00FC5EEF" w:rsidRPr="007B07A5" w14:paraId="644E8090" w14:textId="77777777" w:rsidTr="4B63F14A">
        <w:tc>
          <w:tcPr>
            <w:tcW w:w="3794" w:type="dxa"/>
            <w:vAlign w:val="center"/>
          </w:tcPr>
          <w:p w14:paraId="071B6434" w14:textId="77777777" w:rsidR="00FC5EEF" w:rsidRPr="007B07A5" w:rsidRDefault="00FC5EEF" w:rsidP="007B07A5">
            <w:pPr>
              <w:spacing w:line="360" w:lineRule="auto"/>
              <w:rPr>
                <w:sz w:val="24"/>
                <w:szCs w:val="24"/>
              </w:rPr>
            </w:pPr>
            <w:r w:rsidRPr="007B07A5">
              <w:rPr>
                <w:sz w:val="24"/>
                <w:szCs w:val="24"/>
              </w:rPr>
              <w:t>Teamwork</w:t>
            </w:r>
          </w:p>
        </w:tc>
        <w:tc>
          <w:tcPr>
            <w:tcW w:w="5386" w:type="dxa"/>
            <w:vAlign w:val="center"/>
          </w:tcPr>
          <w:p w14:paraId="40DFC9D3" w14:textId="77777777" w:rsidR="00FC5EEF" w:rsidRPr="007B07A5" w:rsidRDefault="00FC5EEF" w:rsidP="007B07A5">
            <w:pPr>
              <w:spacing w:line="360" w:lineRule="auto"/>
              <w:rPr>
                <w:sz w:val="24"/>
                <w:szCs w:val="24"/>
              </w:rPr>
            </w:pPr>
            <w:r w:rsidRPr="007B07A5">
              <w:rPr>
                <w:rFonts w:eastAsia="Times New Roman"/>
                <w:color w:val="000000"/>
                <w:sz w:val="24"/>
                <w:szCs w:val="24"/>
              </w:rPr>
              <w:t>Builds effective teams, networks or   communities of practice and fosters constructive cross team collaboration</w:t>
            </w:r>
            <w:r>
              <w:rPr>
                <w:rFonts w:eastAsia="Times New Roman"/>
                <w:color w:val="000000"/>
                <w:sz w:val="24"/>
                <w:szCs w:val="24"/>
              </w:rPr>
              <w:t>.</w:t>
            </w:r>
          </w:p>
        </w:tc>
      </w:tr>
      <w:tr w:rsidR="00FC5EEF" w:rsidRPr="007B07A5" w14:paraId="7BD2F75F" w14:textId="77777777" w:rsidTr="4B63F14A">
        <w:tc>
          <w:tcPr>
            <w:tcW w:w="3794" w:type="dxa"/>
            <w:vAlign w:val="center"/>
          </w:tcPr>
          <w:p w14:paraId="32A6F725" w14:textId="77777777" w:rsidR="00FC5EEF" w:rsidRPr="007B07A5" w:rsidRDefault="00FC5EEF" w:rsidP="007B07A5">
            <w:pPr>
              <w:spacing w:line="360" w:lineRule="auto"/>
              <w:rPr>
                <w:sz w:val="24"/>
                <w:szCs w:val="24"/>
              </w:rPr>
            </w:pPr>
            <w:r>
              <w:rPr>
                <w:sz w:val="24"/>
                <w:szCs w:val="24"/>
              </w:rPr>
              <w:t>Student E</w:t>
            </w:r>
            <w:r w:rsidRPr="007B07A5">
              <w:rPr>
                <w:sz w:val="24"/>
                <w:szCs w:val="24"/>
              </w:rPr>
              <w:t>xperien</w:t>
            </w:r>
            <w:r>
              <w:rPr>
                <w:sz w:val="24"/>
                <w:szCs w:val="24"/>
              </w:rPr>
              <w:t>ce or Customer S</w:t>
            </w:r>
            <w:r w:rsidRPr="007B07A5">
              <w:rPr>
                <w:sz w:val="24"/>
                <w:szCs w:val="24"/>
              </w:rPr>
              <w:t>ervice</w:t>
            </w:r>
          </w:p>
        </w:tc>
        <w:tc>
          <w:tcPr>
            <w:tcW w:w="5386" w:type="dxa"/>
            <w:vAlign w:val="center"/>
          </w:tcPr>
          <w:p w14:paraId="4A641052" w14:textId="77777777" w:rsidR="00FC5EEF" w:rsidRPr="007B07A5" w:rsidRDefault="00FC5EEF" w:rsidP="007B07A5">
            <w:pPr>
              <w:spacing w:line="360" w:lineRule="auto"/>
              <w:rPr>
                <w:sz w:val="24"/>
                <w:szCs w:val="24"/>
              </w:rPr>
            </w:pPr>
            <w:r w:rsidRPr="007B07A5">
              <w:rPr>
                <w:color w:val="000000"/>
                <w:sz w:val="24"/>
                <w:szCs w:val="24"/>
              </w:rPr>
              <w:t>Makes a significant contribution to improving the student or customer experience to promote an inclusive environment for st</w:t>
            </w:r>
            <w:r>
              <w:rPr>
                <w:color w:val="000000"/>
                <w:sz w:val="24"/>
                <w:szCs w:val="24"/>
              </w:rPr>
              <w:t xml:space="preserve">udents, </w:t>
            </w:r>
            <w:proofErr w:type="gramStart"/>
            <w:r>
              <w:rPr>
                <w:color w:val="000000"/>
                <w:sz w:val="24"/>
                <w:szCs w:val="24"/>
              </w:rPr>
              <w:t>colleagues</w:t>
            </w:r>
            <w:proofErr w:type="gramEnd"/>
            <w:r>
              <w:rPr>
                <w:color w:val="000000"/>
                <w:sz w:val="24"/>
                <w:szCs w:val="24"/>
              </w:rPr>
              <w:t xml:space="preserve"> or customers.</w:t>
            </w:r>
          </w:p>
        </w:tc>
      </w:tr>
      <w:tr w:rsidR="00FC5EEF" w:rsidRPr="007B07A5" w14:paraId="06F8CE62" w14:textId="77777777" w:rsidTr="4B63F14A">
        <w:tc>
          <w:tcPr>
            <w:tcW w:w="3794" w:type="dxa"/>
            <w:vAlign w:val="center"/>
          </w:tcPr>
          <w:p w14:paraId="6768F2B1" w14:textId="3844E2A6" w:rsidR="00FC5EEF" w:rsidRPr="007B07A5" w:rsidRDefault="00FC5EEF" w:rsidP="007B07A5">
            <w:pPr>
              <w:spacing w:line="360" w:lineRule="auto"/>
              <w:rPr>
                <w:bCs/>
                <w:color w:val="000000"/>
                <w:sz w:val="24"/>
                <w:szCs w:val="24"/>
              </w:rPr>
            </w:pPr>
            <w:r w:rsidRPr="007B07A5">
              <w:rPr>
                <w:bCs/>
                <w:color w:val="000000"/>
                <w:sz w:val="24"/>
                <w:szCs w:val="24"/>
              </w:rPr>
              <w:t>Creativity, Innovation and Problem Solving</w:t>
            </w:r>
          </w:p>
          <w:p w14:paraId="403361D1" w14:textId="77777777" w:rsidR="00FC5EEF" w:rsidRPr="007B07A5" w:rsidRDefault="00FC5EEF" w:rsidP="007B07A5">
            <w:pPr>
              <w:spacing w:line="360" w:lineRule="auto"/>
              <w:rPr>
                <w:sz w:val="24"/>
                <w:szCs w:val="24"/>
              </w:rPr>
            </w:pPr>
          </w:p>
        </w:tc>
        <w:tc>
          <w:tcPr>
            <w:tcW w:w="5386" w:type="dxa"/>
            <w:vAlign w:val="center"/>
          </w:tcPr>
          <w:p w14:paraId="0E3C6FE3" w14:textId="0EAD4B35" w:rsidR="00FC5EEF" w:rsidRPr="007B07A5" w:rsidRDefault="00FC5EEF" w:rsidP="007B07A5">
            <w:pPr>
              <w:spacing w:line="360" w:lineRule="auto"/>
              <w:rPr>
                <w:color w:val="000000"/>
                <w:sz w:val="24"/>
                <w:szCs w:val="24"/>
              </w:rPr>
            </w:pPr>
            <w:r w:rsidRPr="007B07A5">
              <w:rPr>
                <w:color w:val="000000"/>
                <w:sz w:val="24"/>
                <w:szCs w:val="24"/>
              </w:rPr>
              <w:t xml:space="preserve">Initiates innovative </w:t>
            </w:r>
            <w:proofErr w:type="gramStart"/>
            <w:r w:rsidRPr="007B07A5">
              <w:rPr>
                <w:color w:val="000000"/>
                <w:sz w:val="24"/>
                <w:szCs w:val="24"/>
              </w:rPr>
              <w:t>solutions  to</w:t>
            </w:r>
            <w:proofErr w:type="gramEnd"/>
            <w:r w:rsidRPr="007B07A5">
              <w:rPr>
                <w:color w:val="000000"/>
                <w:sz w:val="24"/>
                <w:szCs w:val="24"/>
              </w:rPr>
              <w:t xml:space="preserve">  problems which have a strategic impact</w:t>
            </w:r>
            <w:r>
              <w:rPr>
                <w:color w:val="000000"/>
                <w:sz w:val="24"/>
                <w:szCs w:val="24"/>
              </w:rPr>
              <w:t>.</w:t>
            </w:r>
          </w:p>
          <w:p w14:paraId="3F9D0C97" w14:textId="77777777" w:rsidR="00FC5EEF" w:rsidRPr="007B07A5" w:rsidRDefault="00FC5EEF" w:rsidP="007B07A5">
            <w:pPr>
              <w:spacing w:line="360" w:lineRule="auto"/>
              <w:rPr>
                <w:rFonts w:eastAsia="Times New Roman"/>
                <w:color w:val="000000"/>
                <w:sz w:val="24"/>
                <w:szCs w:val="24"/>
              </w:rPr>
            </w:pPr>
          </w:p>
        </w:tc>
      </w:tr>
    </w:tbl>
    <w:p w14:paraId="12122AB2" w14:textId="77777777" w:rsidR="00FC5EEF" w:rsidRPr="007B07A5" w:rsidRDefault="00FC5EEF" w:rsidP="007B07A5">
      <w:pPr>
        <w:rPr>
          <w:b/>
          <w:sz w:val="24"/>
          <w:szCs w:val="24"/>
        </w:rPr>
      </w:pPr>
    </w:p>
    <w:p w14:paraId="5DFC9EC4" w14:textId="77777777" w:rsidR="00FC5EEF" w:rsidRDefault="00FC5EEF" w:rsidP="007B07A5">
      <w:pPr>
        <w:rPr>
          <w:bCs/>
          <w:sz w:val="24"/>
          <w:szCs w:val="24"/>
        </w:rPr>
      </w:pPr>
      <w:r w:rsidRPr="007B07A5">
        <w:rPr>
          <w:bCs/>
          <w:sz w:val="24"/>
          <w:szCs w:val="24"/>
        </w:rPr>
        <w:t xml:space="preserve">The application form sets out </w:t>
      </w:r>
      <w:proofErr w:type="gramStart"/>
      <w:r w:rsidRPr="007B07A5">
        <w:rPr>
          <w:bCs/>
          <w:sz w:val="24"/>
          <w:szCs w:val="24"/>
        </w:rPr>
        <w:t>a number of</w:t>
      </w:r>
      <w:proofErr w:type="gramEnd"/>
      <w:r w:rsidRPr="007B07A5">
        <w:rPr>
          <w:bCs/>
          <w:sz w:val="24"/>
          <w:szCs w:val="24"/>
        </w:rPr>
        <w:t xml:space="preserve"> competence questions related to some of the following selection criteria. Shortlisting will be based on your responses to these questions. Please make sure you provide evidence to demonstrate clearly how you meet these criteria</w:t>
      </w:r>
      <w:r>
        <w:rPr>
          <w:bCs/>
          <w:sz w:val="24"/>
          <w:szCs w:val="24"/>
        </w:rPr>
        <w:t>.</w:t>
      </w:r>
    </w:p>
    <w:p w14:paraId="3F63B692" w14:textId="77777777" w:rsidR="00FC5EEF" w:rsidRPr="007B07A5" w:rsidRDefault="00FC5EEF" w:rsidP="007B07A5">
      <w:pPr>
        <w:rPr>
          <w:sz w:val="24"/>
          <w:szCs w:val="24"/>
        </w:rPr>
      </w:pPr>
    </w:p>
    <w:p w14:paraId="6F5FD20F" w14:textId="77777777" w:rsidR="00FC5EEF" w:rsidRPr="007B07A5" w:rsidRDefault="00FC5EEF" w:rsidP="007B07A5">
      <w:pPr>
        <w:rPr>
          <w:b/>
          <w:sz w:val="24"/>
          <w:szCs w:val="24"/>
        </w:rPr>
      </w:pPr>
    </w:p>
    <w:p w14:paraId="44444F0A" w14:textId="16F9702C" w:rsidR="00213C7C" w:rsidRDefault="00213C7C"/>
    <w:sectPr w:rsidR="00213C7C" w:rsidSect="00C75AD7">
      <w:headerReference w:type="default" r:id="rId12"/>
      <w:footerReference w:type="default" r:id="rId13"/>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850A5" w14:textId="77777777" w:rsidR="004022A7" w:rsidRDefault="004022A7">
      <w:r>
        <w:separator/>
      </w:r>
    </w:p>
  </w:endnote>
  <w:endnote w:type="continuationSeparator" w:id="0">
    <w:p w14:paraId="0DB22491" w14:textId="77777777" w:rsidR="004022A7" w:rsidRDefault="0040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CD8D"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5904" behindDoc="1" locked="0" layoutInCell="1" allowOverlap="1" wp14:anchorId="3F15A127" wp14:editId="3BD438AC">
              <wp:simplePos x="0" y="0"/>
              <wp:positionH relativeFrom="page">
                <wp:posOffset>901700</wp:posOffset>
              </wp:positionH>
              <wp:positionV relativeFrom="page">
                <wp:posOffset>9898380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20CC" w14:textId="77777777" w:rsidR="00F376F6" w:rsidRDefault="002B7C08">
                          <w:pPr>
                            <w:spacing w:before="12"/>
                            <w:ind w:left="20"/>
                            <w:rPr>
                              <w:sz w:val="24"/>
                            </w:rPr>
                          </w:pPr>
                          <w:r>
                            <w:rPr>
                              <w:sz w:val="24"/>
                            </w:rP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A127" id="_x0000_t202" coordsize="21600,21600" o:spt="202" path="m,l,21600r21600,l21600,xe">
              <v:stroke joinstyle="miter"/>
              <v:path gradientshapeok="t" o:connecttype="rect"/>
            </v:shapetype>
            <v:shape id="Text Box 2" o:spid="_x0000_s1026" type="#_x0000_t202" style="position:absolute;margin-left:71pt;margin-top:779.4pt;width:142.1pt;height:15.4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" filled="f" stroked="f">
              <v:textbox inset="0,0,0,0">
                <w:txbxContent>
                  <w:p w14:paraId="462620CC" w14:textId="77777777" w:rsidR="00F376F6" w:rsidRDefault="002B7C08">
                    <w:pPr>
                      <w:spacing w:before="12"/>
                      <w:ind w:left="20"/>
                      <w:rPr>
                        <w:sz w:val="24"/>
                      </w:rPr>
                    </w:pPr>
                    <w:r>
                      <w:rPr>
                        <w:sz w:val="24"/>
                      </w:rP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14:anchorId="578F00B7" wp14:editId="241B4B57">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A8CB"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00B7" id="Text Box 1" o:spid="_x0000_s1027"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" filled="f" stroked="f">
              <v:textbox inset="0,0,0,0">
                <w:txbxContent>
                  <w:p w14:paraId="0434A8CB"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292570"/>
      <w:docPartObj>
        <w:docPartGallery w:val="Page Numbers (Bottom of Page)"/>
        <w:docPartUnique/>
      </w:docPartObj>
    </w:sdtPr>
    <w:sdtEndPr>
      <w:rPr>
        <w:rFonts w:ascii="Arial" w:hAnsi="Arial" w:cs="Arial"/>
        <w:noProof/>
        <w:sz w:val="24"/>
        <w:szCs w:val="24"/>
      </w:rPr>
    </w:sdtEndPr>
    <w:sdtContent>
      <w:p w14:paraId="5590C0B3" w14:textId="77777777" w:rsidR="001E1D99" w:rsidRPr="00B719B3" w:rsidRDefault="004022A7">
        <w:pPr>
          <w:pStyle w:val="Footer"/>
          <w:jc w:val="right"/>
          <w:rPr>
            <w:rFonts w:ascii="Arial" w:hAnsi="Arial" w:cs="Arial"/>
            <w:sz w:val="24"/>
            <w:szCs w:val="24"/>
          </w:rPr>
        </w:pPr>
        <w:r w:rsidRPr="00B719B3">
          <w:rPr>
            <w:rFonts w:ascii="Arial" w:hAnsi="Arial" w:cs="Arial"/>
            <w:sz w:val="24"/>
            <w:szCs w:val="24"/>
          </w:rPr>
          <w:t xml:space="preserve">Last updated August 2020 </w:t>
        </w:r>
        <w:r>
          <w:rPr>
            <w:rFonts w:ascii="Arial" w:hAnsi="Arial" w:cs="Arial"/>
            <w:sz w:val="24"/>
            <w:szCs w:val="24"/>
          </w:rPr>
          <w:tab/>
        </w:r>
        <w:r>
          <w:rPr>
            <w:rFonts w:ascii="Arial" w:hAnsi="Arial" w:cs="Arial"/>
            <w:sz w:val="24"/>
            <w:szCs w:val="24"/>
          </w:rPr>
          <w:tab/>
        </w:r>
        <w:r w:rsidRPr="00B719B3">
          <w:rPr>
            <w:rFonts w:ascii="Arial" w:hAnsi="Arial" w:cs="Arial"/>
            <w:sz w:val="24"/>
            <w:szCs w:val="24"/>
          </w:rPr>
          <w:fldChar w:fldCharType="begin"/>
        </w:r>
        <w:r w:rsidRPr="00B719B3">
          <w:rPr>
            <w:rFonts w:ascii="Arial" w:hAnsi="Arial" w:cs="Arial"/>
            <w:sz w:val="24"/>
            <w:szCs w:val="24"/>
          </w:rPr>
          <w:instrText xml:space="preserve"> PAGE   \* MERGEFORMAT </w:instrText>
        </w:r>
        <w:r w:rsidRPr="00B719B3">
          <w:rPr>
            <w:rFonts w:ascii="Arial" w:hAnsi="Arial" w:cs="Arial"/>
            <w:sz w:val="24"/>
            <w:szCs w:val="24"/>
          </w:rPr>
          <w:fldChar w:fldCharType="separate"/>
        </w:r>
        <w:r>
          <w:rPr>
            <w:rFonts w:ascii="Arial" w:hAnsi="Arial" w:cs="Arial"/>
            <w:noProof/>
            <w:sz w:val="24"/>
            <w:szCs w:val="24"/>
          </w:rPr>
          <w:t>2</w:t>
        </w:r>
        <w:r w:rsidRPr="00B719B3">
          <w:rPr>
            <w:rFonts w:ascii="Arial" w:hAnsi="Arial" w:cs="Arial"/>
            <w:noProof/>
            <w:sz w:val="24"/>
            <w:szCs w:val="24"/>
          </w:rPr>
          <w:fldChar w:fldCharType="end"/>
        </w:r>
      </w:p>
    </w:sdtContent>
  </w:sdt>
  <w:p w14:paraId="2D3D8106" w14:textId="77777777" w:rsidR="007B07A5" w:rsidRDefault="0003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AD9CF" w14:textId="77777777" w:rsidR="004022A7" w:rsidRDefault="004022A7">
      <w:r>
        <w:separator/>
      </w:r>
    </w:p>
  </w:footnote>
  <w:footnote w:type="continuationSeparator" w:id="0">
    <w:p w14:paraId="7C170938" w14:textId="77777777" w:rsidR="004022A7" w:rsidRDefault="0040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96BD"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0D1AF8BB" wp14:editId="5EC4CDBC">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6D2E" w14:textId="77777777" w:rsidR="007B07A5" w:rsidRDefault="004022A7">
    <w:pPr>
      <w:pStyle w:val="Header"/>
    </w:pPr>
    <w:r>
      <w:rPr>
        <w:noProof/>
        <w:sz w:val="20"/>
        <w:lang w:eastAsia="en-GB"/>
      </w:rPr>
      <w:drawing>
        <wp:inline distT="0" distB="0" distL="0" distR="0" wp14:anchorId="240E31C5" wp14:editId="4F98127B">
          <wp:extent cx="1231900" cy="533400"/>
          <wp:effectExtent l="0" t="0" r="6350" b="0"/>
          <wp:docPr id="10"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inline>
      </w:drawing>
    </w:r>
  </w:p>
  <w:p w14:paraId="0D0B4E90" w14:textId="77777777" w:rsidR="007B07A5" w:rsidRDefault="00030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6827"/>
    <w:multiLevelType w:val="hybridMultilevel"/>
    <w:tmpl w:val="AA58A608"/>
    <w:lvl w:ilvl="0" w:tplc="EADC7ABC">
      <w:start w:val="1"/>
      <w:numFmt w:val="bullet"/>
      <w:lvlText w:val=""/>
      <w:lvlJc w:val="left"/>
      <w:pPr>
        <w:ind w:left="360" w:hanging="360"/>
      </w:pPr>
      <w:rPr>
        <w:rFonts w:ascii="Symbol" w:hAnsi="Symbol" w:hint="default"/>
      </w:rPr>
    </w:lvl>
    <w:lvl w:ilvl="1" w:tplc="F79CE422">
      <w:start w:val="1"/>
      <w:numFmt w:val="bullet"/>
      <w:lvlText w:val="o"/>
      <w:lvlJc w:val="left"/>
      <w:pPr>
        <w:ind w:left="1440" w:hanging="360"/>
      </w:pPr>
      <w:rPr>
        <w:rFonts w:ascii="Courier New" w:hAnsi="Courier New" w:hint="default"/>
      </w:rPr>
    </w:lvl>
    <w:lvl w:ilvl="2" w:tplc="9BDE004A">
      <w:start w:val="1"/>
      <w:numFmt w:val="bullet"/>
      <w:lvlText w:val=""/>
      <w:lvlJc w:val="left"/>
      <w:pPr>
        <w:ind w:left="2160" w:hanging="360"/>
      </w:pPr>
      <w:rPr>
        <w:rFonts w:ascii="Wingdings" w:hAnsi="Wingdings" w:hint="default"/>
      </w:rPr>
    </w:lvl>
    <w:lvl w:ilvl="3" w:tplc="5BCADF5C">
      <w:start w:val="1"/>
      <w:numFmt w:val="bullet"/>
      <w:lvlText w:val=""/>
      <w:lvlJc w:val="left"/>
      <w:pPr>
        <w:ind w:left="2880" w:hanging="360"/>
      </w:pPr>
      <w:rPr>
        <w:rFonts w:ascii="Symbol" w:hAnsi="Symbol" w:hint="default"/>
      </w:rPr>
    </w:lvl>
    <w:lvl w:ilvl="4" w:tplc="7AC40DBE">
      <w:start w:val="1"/>
      <w:numFmt w:val="bullet"/>
      <w:lvlText w:val="o"/>
      <w:lvlJc w:val="left"/>
      <w:pPr>
        <w:ind w:left="3600" w:hanging="360"/>
      </w:pPr>
      <w:rPr>
        <w:rFonts w:ascii="Courier New" w:hAnsi="Courier New" w:hint="default"/>
      </w:rPr>
    </w:lvl>
    <w:lvl w:ilvl="5" w:tplc="8162F462">
      <w:start w:val="1"/>
      <w:numFmt w:val="bullet"/>
      <w:lvlText w:val=""/>
      <w:lvlJc w:val="left"/>
      <w:pPr>
        <w:ind w:left="4320" w:hanging="360"/>
      </w:pPr>
      <w:rPr>
        <w:rFonts w:ascii="Wingdings" w:hAnsi="Wingdings" w:hint="default"/>
      </w:rPr>
    </w:lvl>
    <w:lvl w:ilvl="6" w:tplc="FB081B22">
      <w:start w:val="1"/>
      <w:numFmt w:val="bullet"/>
      <w:lvlText w:val=""/>
      <w:lvlJc w:val="left"/>
      <w:pPr>
        <w:ind w:left="5040" w:hanging="360"/>
      </w:pPr>
      <w:rPr>
        <w:rFonts w:ascii="Symbol" w:hAnsi="Symbol" w:hint="default"/>
      </w:rPr>
    </w:lvl>
    <w:lvl w:ilvl="7" w:tplc="30A23F84">
      <w:start w:val="1"/>
      <w:numFmt w:val="bullet"/>
      <w:lvlText w:val="o"/>
      <w:lvlJc w:val="left"/>
      <w:pPr>
        <w:ind w:left="5760" w:hanging="360"/>
      </w:pPr>
      <w:rPr>
        <w:rFonts w:ascii="Courier New" w:hAnsi="Courier New" w:hint="default"/>
      </w:rPr>
    </w:lvl>
    <w:lvl w:ilvl="8" w:tplc="28F0F2D4">
      <w:start w:val="1"/>
      <w:numFmt w:val="bullet"/>
      <w:lvlText w:val=""/>
      <w:lvlJc w:val="left"/>
      <w:pPr>
        <w:ind w:left="6480" w:hanging="360"/>
      </w:pPr>
      <w:rPr>
        <w:rFonts w:ascii="Wingdings" w:hAnsi="Wingdings" w:hint="default"/>
      </w:rPr>
    </w:lvl>
  </w:abstractNum>
  <w:abstractNum w:abstractNumId="1"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2" w15:restartNumberingAfterBreak="0">
    <w:nsid w:val="1256C40A"/>
    <w:multiLevelType w:val="hybridMultilevel"/>
    <w:tmpl w:val="5F84D314"/>
    <w:lvl w:ilvl="0" w:tplc="570E40BA">
      <w:start w:val="1"/>
      <w:numFmt w:val="bullet"/>
      <w:lvlText w:val=""/>
      <w:lvlJc w:val="left"/>
      <w:pPr>
        <w:ind w:left="360" w:hanging="360"/>
      </w:pPr>
      <w:rPr>
        <w:rFonts w:ascii="Symbol" w:hAnsi="Symbol" w:hint="default"/>
      </w:rPr>
    </w:lvl>
    <w:lvl w:ilvl="1" w:tplc="9006A1FC">
      <w:start w:val="1"/>
      <w:numFmt w:val="bullet"/>
      <w:lvlText w:val="o"/>
      <w:lvlJc w:val="left"/>
      <w:pPr>
        <w:ind w:left="1440" w:hanging="360"/>
      </w:pPr>
      <w:rPr>
        <w:rFonts w:ascii="Courier New" w:hAnsi="Courier New" w:hint="default"/>
      </w:rPr>
    </w:lvl>
    <w:lvl w:ilvl="2" w:tplc="B59A8DD4">
      <w:start w:val="1"/>
      <w:numFmt w:val="bullet"/>
      <w:lvlText w:val=""/>
      <w:lvlJc w:val="left"/>
      <w:pPr>
        <w:ind w:left="2160" w:hanging="360"/>
      </w:pPr>
      <w:rPr>
        <w:rFonts w:ascii="Wingdings" w:hAnsi="Wingdings" w:hint="default"/>
      </w:rPr>
    </w:lvl>
    <w:lvl w:ilvl="3" w:tplc="9222ABC8">
      <w:start w:val="1"/>
      <w:numFmt w:val="bullet"/>
      <w:lvlText w:val=""/>
      <w:lvlJc w:val="left"/>
      <w:pPr>
        <w:ind w:left="2880" w:hanging="360"/>
      </w:pPr>
      <w:rPr>
        <w:rFonts w:ascii="Symbol" w:hAnsi="Symbol" w:hint="default"/>
      </w:rPr>
    </w:lvl>
    <w:lvl w:ilvl="4" w:tplc="BFBACBC0">
      <w:start w:val="1"/>
      <w:numFmt w:val="bullet"/>
      <w:lvlText w:val="o"/>
      <w:lvlJc w:val="left"/>
      <w:pPr>
        <w:ind w:left="3600" w:hanging="360"/>
      </w:pPr>
      <w:rPr>
        <w:rFonts w:ascii="Courier New" w:hAnsi="Courier New" w:hint="default"/>
      </w:rPr>
    </w:lvl>
    <w:lvl w:ilvl="5" w:tplc="0B58A3D0">
      <w:start w:val="1"/>
      <w:numFmt w:val="bullet"/>
      <w:lvlText w:val=""/>
      <w:lvlJc w:val="left"/>
      <w:pPr>
        <w:ind w:left="4320" w:hanging="360"/>
      </w:pPr>
      <w:rPr>
        <w:rFonts w:ascii="Wingdings" w:hAnsi="Wingdings" w:hint="default"/>
      </w:rPr>
    </w:lvl>
    <w:lvl w:ilvl="6" w:tplc="F0A0B9A6">
      <w:start w:val="1"/>
      <w:numFmt w:val="bullet"/>
      <w:lvlText w:val=""/>
      <w:lvlJc w:val="left"/>
      <w:pPr>
        <w:ind w:left="5040" w:hanging="360"/>
      </w:pPr>
      <w:rPr>
        <w:rFonts w:ascii="Symbol" w:hAnsi="Symbol" w:hint="default"/>
      </w:rPr>
    </w:lvl>
    <w:lvl w:ilvl="7" w:tplc="AAE82D56">
      <w:start w:val="1"/>
      <w:numFmt w:val="bullet"/>
      <w:lvlText w:val="o"/>
      <w:lvlJc w:val="left"/>
      <w:pPr>
        <w:ind w:left="5760" w:hanging="360"/>
      </w:pPr>
      <w:rPr>
        <w:rFonts w:ascii="Courier New" w:hAnsi="Courier New" w:hint="default"/>
      </w:rPr>
    </w:lvl>
    <w:lvl w:ilvl="8" w:tplc="AC4668A2">
      <w:start w:val="1"/>
      <w:numFmt w:val="bullet"/>
      <w:lvlText w:val=""/>
      <w:lvlJc w:val="left"/>
      <w:pPr>
        <w:ind w:left="6480" w:hanging="360"/>
      </w:pPr>
      <w:rPr>
        <w:rFonts w:ascii="Wingdings" w:hAnsi="Wingdings" w:hint="default"/>
      </w:rPr>
    </w:lvl>
  </w:abstractNum>
  <w:abstractNum w:abstractNumId="3" w15:restartNumberingAfterBreak="0">
    <w:nsid w:val="1B472161"/>
    <w:multiLevelType w:val="hybridMultilevel"/>
    <w:tmpl w:val="8C7CEA18"/>
    <w:lvl w:ilvl="0" w:tplc="30C8D7A6">
      <w:numFmt w:val="bullet"/>
      <w:lvlText w:val=""/>
      <w:lvlJc w:val="left"/>
      <w:pPr>
        <w:ind w:left="108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2053" w:hanging="360"/>
      </w:pPr>
      <w:rPr>
        <w:rFonts w:ascii="Courier New" w:hAnsi="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hint="default"/>
      </w:rPr>
    </w:lvl>
    <w:lvl w:ilvl="8" w:tplc="08090005" w:tentative="1">
      <w:start w:val="1"/>
      <w:numFmt w:val="bullet"/>
      <w:lvlText w:val=""/>
      <w:lvlJc w:val="left"/>
      <w:pPr>
        <w:ind w:left="7093" w:hanging="360"/>
      </w:pPr>
      <w:rPr>
        <w:rFonts w:ascii="Wingdings" w:hAnsi="Wingdings" w:hint="default"/>
      </w:rPr>
    </w:lvl>
  </w:abstractNum>
  <w:abstractNum w:abstractNumId="4" w15:restartNumberingAfterBreak="0">
    <w:nsid w:val="4F967542"/>
    <w:multiLevelType w:val="hybridMultilevel"/>
    <w:tmpl w:val="6D9A3D94"/>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04152"/>
    <w:multiLevelType w:val="hybridMultilevel"/>
    <w:tmpl w:val="597C6C90"/>
    <w:lvl w:ilvl="0" w:tplc="30C8D7A6">
      <w:numFmt w:val="bullet"/>
      <w:lvlText w:val=""/>
      <w:lvlJc w:val="left"/>
      <w:pPr>
        <w:ind w:left="108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2053" w:hanging="360"/>
      </w:pPr>
      <w:rPr>
        <w:rFonts w:ascii="Courier New" w:hAnsi="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hint="default"/>
      </w:rPr>
    </w:lvl>
    <w:lvl w:ilvl="8" w:tplc="08090005" w:tentative="1">
      <w:start w:val="1"/>
      <w:numFmt w:val="bullet"/>
      <w:lvlText w:val=""/>
      <w:lvlJc w:val="left"/>
      <w:pPr>
        <w:ind w:left="7093" w:hanging="360"/>
      </w:pPr>
      <w:rPr>
        <w:rFonts w:ascii="Wingdings" w:hAnsi="Wingdings" w:hint="default"/>
      </w:rPr>
    </w:lvl>
  </w:abstractNum>
  <w:abstractNum w:abstractNumId="6" w15:restartNumberingAfterBreak="0">
    <w:nsid w:val="57B4601B"/>
    <w:multiLevelType w:val="hybridMultilevel"/>
    <w:tmpl w:val="BD2CB7FA"/>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7" w15:restartNumberingAfterBreak="0">
    <w:nsid w:val="77875898"/>
    <w:multiLevelType w:val="hybridMultilevel"/>
    <w:tmpl w:val="0F64EE62"/>
    <w:lvl w:ilvl="0" w:tplc="30C8D7A6">
      <w:numFmt w:val="bullet"/>
      <w:lvlText w:val=""/>
      <w:lvlJc w:val="left"/>
      <w:pPr>
        <w:ind w:left="108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2053" w:hanging="360"/>
      </w:pPr>
      <w:rPr>
        <w:rFonts w:ascii="Courier New" w:hAnsi="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hint="default"/>
      </w:rPr>
    </w:lvl>
    <w:lvl w:ilvl="8" w:tplc="08090005" w:tentative="1">
      <w:start w:val="1"/>
      <w:numFmt w:val="bullet"/>
      <w:lvlText w:val=""/>
      <w:lvlJc w:val="left"/>
      <w:pPr>
        <w:ind w:left="709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308DF"/>
    <w:rsid w:val="000A1DF2"/>
    <w:rsid w:val="00213C7C"/>
    <w:rsid w:val="002B7C08"/>
    <w:rsid w:val="00356D81"/>
    <w:rsid w:val="003B1709"/>
    <w:rsid w:val="003D6F3F"/>
    <w:rsid w:val="003E4CB0"/>
    <w:rsid w:val="004022A7"/>
    <w:rsid w:val="00673978"/>
    <w:rsid w:val="006E45A4"/>
    <w:rsid w:val="006F5EBD"/>
    <w:rsid w:val="007B6814"/>
    <w:rsid w:val="00860FEB"/>
    <w:rsid w:val="00864CAE"/>
    <w:rsid w:val="00A36D14"/>
    <w:rsid w:val="00A7419C"/>
    <w:rsid w:val="00A96C74"/>
    <w:rsid w:val="00BD7CF9"/>
    <w:rsid w:val="00C7210D"/>
    <w:rsid w:val="00DB7EA4"/>
    <w:rsid w:val="00E248D2"/>
    <w:rsid w:val="00E91E18"/>
    <w:rsid w:val="00EB4599"/>
    <w:rsid w:val="00F376F6"/>
    <w:rsid w:val="00FC5EEF"/>
    <w:rsid w:val="21483F14"/>
    <w:rsid w:val="46990EC2"/>
    <w:rsid w:val="4B63F14A"/>
    <w:rsid w:val="707C4B01"/>
    <w:rsid w:val="7BBFC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D61DA"/>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FC5EE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EEF"/>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FC5EEF"/>
    <w:rPr>
      <w:lang w:val="en-GB"/>
    </w:rPr>
  </w:style>
  <w:style w:type="paragraph" w:styleId="Footer">
    <w:name w:val="footer"/>
    <w:basedOn w:val="Normal"/>
    <w:link w:val="FooterChar"/>
    <w:uiPriority w:val="99"/>
    <w:unhideWhenUsed/>
    <w:rsid w:val="00FC5EEF"/>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FC5E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2.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AC2C127-DD5C-47BC-811B-505CD2CC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1106</Words>
  <Characters>6308</Characters>
  <Application>Microsoft Office Word</Application>
  <DocSecurity>0</DocSecurity>
  <Lines>52</Lines>
  <Paragraphs>14</Paragraphs>
  <ScaleCrop>false</ScaleCrop>
  <Company>University of the Arts London</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creator>Nadine Maloney</dc:creator>
  <cp:keywords>Recruitment, Job Description template</cp:keywords>
  <cp:lastModifiedBy>Clara Adenuga</cp:lastModifiedBy>
  <cp:revision>2</cp:revision>
  <dcterms:created xsi:type="dcterms:W3CDTF">2023-01-25T10:11:00Z</dcterms:created>
  <dcterms:modified xsi:type="dcterms:W3CDTF">2023-01-25T10:11:00Z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