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5" w:type="dxa"/>
        <w:tblLayout w:type="fixed"/>
        <w:tblLook w:val="0000" w:firstRow="0" w:lastRow="0" w:firstColumn="0" w:lastColumn="0" w:noHBand="0" w:noVBand="0"/>
      </w:tblPr>
      <w:tblGrid>
        <w:gridCol w:w="3105"/>
        <w:gridCol w:w="1650"/>
        <w:gridCol w:w="1770"/>
        <w:gridCol w:w="2460"/>
      </w:tblGrid>
      <w:tr w:rsidR="7C4FA8E0" w14:paraId="10609E5D" w14:textId="77777777" w:rsidTr="6E33B213">
        <w:tc>
          <w:tcPr>
            <w:tcW w:w="8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9A6E" w14:textId="7EBE2356" w:rsidR="7C4FA8E0" w:rsidRDefault="7C4FA8E0" w:rsidP="7C4FA8E0">
            <w:pPr>
              <w:pStyle w:val="Heading3"/>
              <w:jc w:val="center"/>
              <w:rPr>
                <w:rFonts w:ascii="Arial" w:eastAsia="Arial" w:hAnsi="Arial" w:cs="Arial"/>
                <w:color w:val="1F3763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1F3763"/>
                <w:sz w:val="20"/>
                <w:szCs w:val="20"/>
              </w:rPr>
              <w:t>JOB DESCRIPTION</w:t>
            </w:r>
          </w:p>
        </w:tc>
      </w:tr>
      <w:tr w:rsidR="7C4FA8E0" w14:paraId="39B4F051" w14:textId="77777777" w:rsidTr="6E33B213">
        <w:trPr>
          <w:trHeight w:val="360"/>
        </w:trPr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B62CD6" w14:textId="1118275F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Job Title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Assistant Archivist: Cataloguing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E3E2EF" w14:textId="5B422882" w:rsidR="7C4FA8E0" w:rsidRDefault="2E50F66C" w:rsidP="6D83E9F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Accountable to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43D09B16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Academic Support Librarian, Collections, WCA</w:t>
            </w:r>
          </w:p>
        </w:tc>
      </w:tr>
      <w:tr w:rsidR="7C4FA8E0" w14:paraId="377FF83D" w14:textId="77777777" w:rsidTr="6E33B213">
        <w:trPr>
          <w:trHeight w:val="360"/>
        </w:trPr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7CB373" w14:textId="05CD2CBA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Contract Length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3</w:t>
            </w:r>
            <w:r w:rsidRPr="7C4FA8E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months or pro rata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F153" w14:textId="75B4DFEE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Hours per week/FTE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35 or pro rata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1321AE2" w14:textId="50883928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Weeks per year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7C4FA8E0" w14:paraId="5F28A1A4" w14:textId="77777777" w:rsidTr="6E33B213">
        <w:trPr>
          <w:trHeight w:val="360"/>
        </w:trPr>
        <w:tc>
          <w:tcPr>
            <w:tcW w:w="47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A70A08" w14:textId="7A05564A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Salary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Salary</w:t>
            </w:r>
            <w:r w:rsidRPr="7C4FA8E0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: £</w:t>
            </w:r>
            <w:r w:rsidR="004B2C27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30</w:t>
            </w:r>
            <w:r w:rsidRPr="7C4FA8E0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,</w:t>
            </w:r>
            <w:r w:rsidR="004B2C27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777</w:t>
            </w:r>
            <w:r w:rsidRPr="7C4FA8E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 annum/ pro rata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29466D" w14:textId="5B9E5428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3</w:t>
            </w:r>
          </w:p>
        </w:tc>
      </w:tr>
      <w:tr w:rsidR="7C4FA8E0" w14:paraId="47027D5F" w14:textId="77777777" w:rsidTr="6E33B213">
        <w:trPr>
          <w:trHeight w:val="360"/>
        </w:trPr>
        <w:tc>
          <w:tcPr>
            <w:tcW w:w="4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AA3BB8" w14:textId="67C2E917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College/Service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Library Services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77217" w14:textId="2F9DF7B7" w:rsidR="7C4FA8E0" w:rsidRDefault="2B630487" w:rsidP="6D83E9F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Location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6B95B03A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Wimbledon School of Art</w:t>
            </w:r>
          </w:p>
        </w:tc>
      </w:tr>
      <w:tr w:rsidR="7C4FA8E0" w14:paraId="244E1F79" w14:textId="77777777" w:rsidTr="6E33B213">
        <w:tc>
          <w:tcPr>
            <w:tcW w:w="8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A0CF" w14:textId="5329E5AE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Purpose of Role: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163649A" w14:textId="3DCCBB80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 contribute to a programme to catalogue UAL’s archives, </w:t>
            </w:r>
            <w:proofErr w:type="gramStart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museum</w:t>
            </w:r>
            <w:proofErr w:type="gramEnd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special collections, to make them discoverable and to support teaching, learning and research at UAL and beyond. </w:t>
            </w:r>
          </w:p>
          <w:p w14:paraId="54D6E69D" w14:textId="1FBB8C67" w:rsidR="7C4FA8E0" w:rsidRDefault="2B630487" w:rsidP="6D83E9F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particular, to</w:t>
            </w:r>
            <w:proofErr w:type="gramEnd"/>
            <w:r w:rsidR="7E13AA69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BB502FB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arrange, 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catalogue and promote the </w:t>
            </w:r>
            <w:r w:rsidR="5943C0A5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Wimbledon College of Art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D5EA85C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Archive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7C4FA8E0" w14:paraId="45F6CD4D" w14:textId="77777777" w:rsidTr="6E33B213">
        <w:tc>
          <w:tcPr>
            <w:tcW w:w="8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1410" w14:textId="693432B7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Duties and Responsibilities</w:t>
            </w:r>
          </w:p>
          <w:p w14:paraId="113F7509" w14:textId="26680DD7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Participate in an ongoing programme to catalogue museum and archive collections using internationally recognised standards, such as </w:t>
            </w:r>
            <w:r w:rsidR="408B567F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ISAD(G) and 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SPECTRUM, in liaison with collections staff. This role will </w:t>
            </w:r>
            <w:r w:rsidR="423662B4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arrange and 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catalogue </w:t>
            </w:r>
            <w:r w:rsidR="73F351C8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27 boxes </w:t>
            </w:r>
            <w:r w:rsidR="62E3F01B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material from the</w:t>
            </w:r>
            <w:r w:rsidR="672AB10D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archive of </w:t>
            </w:r>
            <w:r w:rsidR="334DA592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Wimbledon College of Art</w:t>
            </w:r>
            <w:r w:rsidR="4ADB4745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and associated materials.</w:t>
            </w:r>
          </w:p>
          <w:p w14:paraId="565B1BE9" w14:textId="12582CE5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Contribute catalogue records to the </w:t>
            </w:r>
            <w:r w:rsidR="67CEB5DF"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Archive</w:t>
            </w: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management system </w:t>
            </w:r>
            <w:r w:rsidR="2ADC515C"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CALM.</w:t>
            </w:r>
          </w:p>
          <w:p w14:paraId="11DEF6D9" w14:textId="0F293125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 work to decolonise the University’s archival collections, through critical cataloguing practices which seek to challenge dominance and stereotyping. </w:t>
            </w:r>
          </w:p>
          <w:p w14:paraId="12499D34" w14:textId="76E09728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Create new authority records for the </w:t>
            </w:r>
            <w:r w:rsidR="6E10ED86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people 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represented in the Archive, to enhance discovery and enable links to be made to other collections at UAL and elsewhere. </w:t>
            </w:r>
          </w:p>
          <w:p w14:paraId="4C01CEE0" w14:textId="0945B701" w:rsidR="688AC0A6" w:rsidRDefault="688AC0A6" w:rsidP="6E33B213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33B213">
              <w:rPr>
                <w:rFonts w:ascii="Arial" w:eastAsia="Arial" w:hAnsi="Arial" w:cs="Arial"/>
                <w:sz w:val="20"/>
                <w:szCs w:val="20"/>
              </w:rPr>
              <w:t>Contribute to a selection of items from the Archive to be prepared for digitisation.</w:t>
            </w:r>
          </w:p>
          <w:p w14:paraId="7BF98C43" w14:textId="4AEE5042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Contribute to the preparation of newly created catalogue and authority records to the </w:t>
            </w:r>
            <w:hyperlink r:id="rId8">
              <w:r w:rsidRPr="448F3ED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Digital Collections</w:t>
              </w:r>
            </w:hyperlink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site, in liaison with the Digital Preservation and Access Manager. </w:t>
            </w:r>
          </w:p>
          <w:p w14:paraId="615DD7B3" w14:textId="713CCC12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Prepare a curated collection on the </w:t>
            </w:r>
            <w:hyperlink r:id="rId9">
              <w:r w:rsidRPr="448F3ED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Digital Collections</w:t>
              </w:r>
            </w:hyperlink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site, to promote new stories about the Archive.</w:t>
            </w:r>
          </w:p>
          <w:p w14:paraId="2DAFB532" w14:textId="65B08FD1" w:rsidR="7C4FA8E0" w:rsidRDefault="2B630487" w:rsidP="6D83E9F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Assist and support the export of records as appropriate, in support of the Open Archive Initiative, or other appropriate national archive projects and linked data initiatives. </w:t>
            </w:r>
          </w:p>
          <w:p w14:paraId="5CEFADBB" w14:textId="7CFFC9C4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Contribute to the conservation and preservation of the physical samples, in line with expert preservation advice.</w:t>
            </w:r>
          </w:p>
          <w:p w14:paraId="639DBF0D" w14:textId="174598DA" w:rsidR="7C4FA8E0" w:rsidRDefault="7BD2F099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Curate a physical display from the </w:t>
            </w:r>
            <w:r w:rsidR="08B3EAD8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Wimbledon College of Art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Archive as part of the Curating Collections Programme.</w:t>
            </w:r>
            <w:r w:rsidR="2B630487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970ED8" w14:textId="753493D0" w:rsidR="7C4FA8E0" w:rsidRDefault="2B630487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Support colleagues to promote the newly catalogued Archive through social media activity, including external and internal blog posts.</w:t>
            </w:r>
          </w:p>
          <w:p w14:paraId="4043AE56" w14:textId="676E4C05" w:rsidR="12F4E956" w:rsidRDefault="12F4E956" w:rsidP="6D83E9F0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Contribute to responses to enquiries about the </w:t>
            </w:r>
            <w:r w:rsidR="00C07E91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Wimbledon College of A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</w:t>
            </w:r>
            <w:r w:rsidR="09455F8B"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</w:t>
            </w: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Archive.</w:t>
            </w:r>
          </w:p>
          <w:p w14:paraId="261FE77A" w14:textId="75C9E1B2" w:rsidR="6D83E9F0" w:rsidRDefault="6D83E9F0" w:rsidP="6D83E9F0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B3FEE5D" w14:textId="29033FA0" w:rsidR="7C4FA8E0" w:rsidRDefault="7C4FA8E0" w:rsidP="7C4FA8E0">
            <w:pPr>
              <w:ind w:left="7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FCFDD1A" w14:textId="460C24C6" w:rsidR="7C4FA8E0" w:rsidRDefault="7C4FA8E0" w:rsidP="7C4FA8E0">
            <w:pPr>
              <w:ind w:left="7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B266F4" w14:textId="0BDCDD52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proofErr w:type="gramStart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addition</w:t>
            </w:r>
            <w:proofErr w:type="gramEnd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post-holder will be expected to:</w:t>
            </w:r>
          </w:p>
          <w:p w14:paraId="5FD45514" w14:textId="43A166BA" w:rsidR="7C4FA8E0" w:rsidRDefault="7C4FA8E0" w:rsidP="7C4FA8E0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Perform such duties consistent with your role as may from time to time be assigned to you anywhere within the University.</w:t>
            </w:r>
          </w:p>
          <w:p w14:paraId="2EF11507" w14:textId="5C009986" w:rsidR="7C4FA8E0" w:rsidRDefault="7C4FA8E0" w:rsidP="7C4FA8E0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Undertake health and safety duties and responsibilities appropriate to the role.</w:t>
            </w:r>
          </w:p>
          <w:p w14:paraId="794851AB" w14:textId="38E422DC" w:rsidR="7C4FA8E0" w:rsidRDefault="7C4FA8E0" w:rsidP="7C4FA8E0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201F1E"/>
                <w:sz w:val="20"/>
                <w:szCs w:val="20"/>
              </w:rPr>
              <w:t>To work in accordance with the University’s Staff Charter and Dignity at Work Policy, promoting equality diversity and inclusion in your work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5CCAF79" w14:textId="66859BE1" w:rsidR="7C4FA8E0" w:rsidRDefault="7C4FA8E0" w:rsidP="7C4FA8E0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5564A572" w14:textId="563BD6D9" w:rsidR="7C4FA8E0" w:rsidRDefault="7C4FA8E0" w:rsidP="7C4FA8E0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Make full use of all information and communication technologies in adherence to data protection policies to meet the requirements of the role and to promote organisational effectiveness.</w:t>
            </w:r>
          </w:p>
          <w:p w14:paraId="007A6655" w14:textId="4E30DF5B" w:rsidR="7C4FA8E0" w:rsidRDefault="7C4FA8E0" w:rsidP="7C4FA8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Conduct all financial matters associated with the role in accordance with the University’s policies and procedures, as laid down in the Financial Regulations.</w:t>
            </w:r>
          </w:p>
          <w:p w14:paraId="679D85E7" w14:textId="037C2200" w:rsidR="7C4FA8E0" w:rsidRDefault="7C4FA8E0" w:rsidP="7C4FA8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personally contribute towards reducing the university’s impact on the environment and support actions associated with the UAL Sustainability Manifesto.</w:t>
            </w:r>
          </w:p>
          <w:p w14:paraId="26328996" w14:textId="7EFBBA24" w:rsidR="7C4FA8E0" w:rsidRDefault="7C4FA8E0" w:rsidP="7C4FA8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C4FA8E0" w14:paraId="7DAA5438" w14:textId="77777777" w:rsidTr="6E33B213">
        <w:trPr>
          <w:trHeight w:val="2565"/>
        </w:trPr>
        <w:tc>
          <w:tcPr>
            <w:tcW w:w="8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C29" w14:textId="43F080F6" w:rsidR="7C4FA8E0" w:rsidRPr="004B2C27" w:rsidRDefault="7C4FA8E0" w:rsidP="7C4FA8E0">
            <w:pPr>
              <w:pStyle w:val="Heading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B2C27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  <w:lastRenderedPageBreak/>
              <w:t>Key Working Relationships</w:t>
            </w:r>
            <w:r w:rsidRPr="004B2C27">
              <w:rPr>
                <w:rFonts w:ascii="Arial" w:eastAsia="Arial" w:hAnsi="Arial" w:cs="Arial"/>
                <w:i w:val="0"/>
                <w:iCs w:val="0"/>
                <w:color w:val="auto"/>
                <w:sz w:val="20"/>
                <w:szCs w:val="20"/>
              </w:rPr>
              <w:t>: Managers and other staff, and external partners, suppliers etc; with whom regular contact is required.</w:t>
            </w:r>
          </w:p>
          <w:p w14:paraId="089198C8" w14:textId="04CFB509" w:rsidR="676B15A2" w:rsidRDefault="676B15A2" w:rsidP="448F3E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Academic Support Librarian, Wimbledon College of Art</w:t>
            </w:r>
          </w:p>
          <w:p w14:paraId="60D137AE" w14:textId="2CC7CA0B" w:rsidR="7C4FA8E0" w:rsidRDefault="7C4FA8E0" w:rsidP="6D83E9F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Digital Preservation and Access Manager, University Archives and Special Collections Centre</w:t>
            </w:r>
          </w:p>
          <w:p w14:paraId="33EA6E40" w14:textId="5F8B390E" w:rsidR="03849E1F" w:rsidRDefault="03849E1F" w:rsidP="6D83E9F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ASCC</w:t>
            </w:r>
            <w:r w:rsidR="3BE2E879"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team</w:t>
            </w:r>
          </w:p>
          <w:p w14:paraId="306BC802" w14:textId="6E04959B" w:rsidR="7C4FA8E0" w:rsidRDefault="7C4FA8E0" w:rsidP="7C4FA8E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Community of Practice of archive, </w:t>
            </w:r>
            <w:proofErr w:type="gramStart"/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museum</w:t>
            </w:r>
            <w:proofErr w:type="gramEnd"/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special collection managers</w:t>
            </w:r>
          </w:p>
          <w:p w14:paraId="42DDE5CE" w14:textId="74EA90A5" w:rsidR="7C4FA8E0" w:rsidRDefault="2E50F66C" w:rsidP="6D83E9F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Cataloguing Programme Manager </w:t>
            </w:r>
            <w:r w:rsidR="082C1E8E"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(Manager ASCC) </w:t>
            </w:r>
            <w:r w:rsidRPr="6D83E9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 Associate Director for Library Service (Content and Discovery)</w:t>
            </w:r>
          </w:p>
        </w:tc>
      </w:tr>
      <w:tr w:rsidR="7C4FA8E0" w14:paraId="54B2F6DA" w14:textId="77777777" w:rsidTr="6E33B213">
        <w:tc>
          <w:tcPr>
            <w:tcW w:w="8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1172" w14:textId="0513320C" w:rsidR="7C4FA8E0" w:rsidRPr="004B2C27" w:rsidRDefault="7C4FA8E0" w:rsidP="7C4FA8E0">
            <w:pPr>
              <w:pStyle w:val="Heading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B2C27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  <w:t>Specific Management Responsibilities</w:t>
            </w:r>
          </w:p>
          <w:p w14:paraId="005639CF" w14:textId="575E5D5F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69179B" w14:textId="2F652236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Budgets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n/a</w:t>
            </w:r>
          </w:p>
          <w:p w14:paraId="35522A17" w14:textId="439B82C5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3A82E85" w14:textId="51572BAB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Staff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n/a</w:t>
            </w:r>
          </w:p>
          <w:p w14:paraId="6A8B104D" w14:textId="6758D03A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6E74BE" w14:textId="2D128F06" w:rsidR="7C4FA8E0" w:rsidRDefault="7C4FA8E0" w:rsidP="7C4FA8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4FA8E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Other</w:t>
            </w:r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7C4FA8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accommodation; equipment): n/a</w:t>
            </w:r>
          </w:p>
        </w:tc>
      </w:tr>
    </w:tbl>
    <w:p w14:paraId="5E5787A5" w14:textId="484C3EFA" w:rsidR="00E21320" w:rsidRDefault="00E21320" w:rsidP="7C4FA8E0"/>
    <w:p w14:paraId="69B28B3B" w14:textId="71366D4E" w:rsidR="2DEB528F" w:rsidRDefault="2DEB528F" w:rsidP="2DEB528F"/>
    <w:p w14:paraId="500C3216" w14:textId="7EEA4D6E" w:rsidR="004B2C27" w:rsidRDefault="004B2C27" w:rsidP="2DEB528F"/>
    <w:p w14:paraId="7DA97430" w14:textId="68DB3FC2" w:rsidR="004B2C27" w:rsidRDefault="004B2C27" w:rsidP="2DEB528F"/>
    <w:p w14:paraId="3E29EC17" w14:textId="6952F66F" w:rsidR="004B2C27" w:rsidRDefault="004B2C27" w:rsidP="2DEB528F"/>
    <w:p w14:paraId="2EC4F67D" w14:textId="5530DE0B" w:rsidR="004B2C27" w:rsidRDefault="004B2C27" w:rsidP="2DEB528F"/>
    <w:p w14:paraId="4EC33485" w14:textId="31C2BB11" w:rsidR="004B2C27" w:rsidRDefault="004B2C27" w:rsidP="2DEB528F"/>
    <w:p w14:paraId="168F5278" w14:textId="135B9086" w:rsidR="004B2C27" w:rsidRDefault="004B2C27" w:rsidP="2DEB528F"/>
    <w:p w14:paraId="3AC430BC" w14:textId="138E5DCA" w:rsidR="004B2C27" w:rsidRDefault="004B2C27" w:rsidP="2DEB528F"/>
    <w:p w14:paraId="57B0B86B" w14:textId="319FB6E4" w:rsidR="004B2C27" w:rsidRDefault="004B2C27" w:rsidP="2DEB528F"/>
    <w:p w14:paraId="57381062" w14:textId="1CD96B5A" w:rsidR="004B2C27" w:rsidRDefault="004B2C27" w:rsidP="2DEB528F"/>
    <w:p w14:paraId="5BF816D0" w14:textId="57900F77" w:rsidR="004B2C27" w:rsidRDefault="004B2C27" w:rsidP="2DEB528F"/>
    <w:p w14:paraId="4CAE2345" w14:textId="77777777" w:rsidR="004B2C27" w:rsidRDefault="004B2C27" w:rsidP="2DEB528F"/>
    <w:p w14:paraId="4B55C05F" w14:textId="3131AE5A" w:rsidR="2DEB528F" w:rsidRDefault="2DEB528F" w:rsidP="2DEB528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4860"/>
      </w:tblGrid>
      <w:tr w:rsidR="2DEB528F" w14:paraId="04FF3011" w14:textId="77777777" w:rsidTr="448F3ED1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8FF343C" w14:textId="5C2BF44B" w:rsidR="2DEB528F" w:rsidRDefault="385E69A7" w:rsidP="6D83E9F0">
            <w:pPr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6D83E9F0"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2DEB528F" w14:paraId="6BB5D6BE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AF56" w14:textId="3CD368E5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Specialist Knowledge/ Qualifications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2DB1" w14:textId="61AEC59E" w:rsidR="2DEB528F" w:rsidRPr="004B2C27" w:rsidRDefault="385E69A7" w:rsidP="6D83E9F0">
            <w:pPr>
              <w:spacing w:line="240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EC384E" w14:textId="49752D1C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B2C2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degree in an information-related subject, arts or humanities, at either graduate or postgraduate level, or equivalent experience in a cultural heritage environment. </w:t>
            </w:r>
          </w:p>
          <w:p w14:paraId="2F506875" w14:textId="77777777" w:rsidR="004B2C27" w:rsidRPr="004B2C27" w:rsidRDefault="004B2C2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6BE5C33" w14:textId="7375AA80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B2C2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Demonstrable interest in</w:t>
            </w: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collections.</w:t>
            </w:r>
          </w:p>
          <w:p w14:paraId="734F6F7E" w14:textId="77777777" w:rsidR="004B2C27" w:rsidRDefault="004B2C2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0CDA96C" w14:textId="0D2DF322" w:rsidR="1E33A439" w:rsidRDefault="1E33A439" w:rsidP="448F3ED1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 interest in </w:t>
            </w:r>
            <w:r w:rsidR="506BE035" w:rsidRPr="448F3E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development of art and design education</w:t>
            </w:r>
          </w:p>
          <w:p w14:paraId="0D753BDE" w14:textId="4B06089A" w:rsidR="2DEB528F" w:rsidRDefault="2DEB528F" w:rsidP="6D83E9F0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3EB2A9" w14:textId="3AC42FD0" w:rsidR="2DEB528F" w:rsidRPr="004B2C27" w:rsidRDefault="385E69A7" w:rsidP="004B2C27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Knowledge of cataloguing processes</w:t>
            </w:r>
          </w:p>
        </w:tc>
      </w:tr>
      <w:tr w:rsidR="2DEB528F" w14:paraId="1FD557E1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3A2E" w14:textId="72DBED0A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Relevant Experience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4F59" w14:textId="3BD05BA1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9055EAE" w14:textId="5139D2CA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Has experience of working with library, </w:t>
            </w:r>
            <w:proofErr w:type="gramStart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museum</w:t>
            </w:r>
            <w:proofErr w:type="gramEnd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or archive collections.</w:t>
            </w:r>
          </w:p>
          <w:p w14:paraId="47A5FF0C" w14:textId="4626F7B5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350139" w14:textId="052A700E" w:rsidR="2DEB528F" w:rsidRDefault="249A3A9D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48F3E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Has experience of archival arrangement, cataloguing and</w:t>
            </w:r>
            <w:r w:rsidR="1E33A439" w:rsidRPr="448F3E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undertaking data entry.</w:t>
            </w:r>
          </w:p>
          <w:p w14:paraId="6B4A54E9" w14:textId="3459382F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84D090D" w14:textId="47F53A50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Has experience of using a collection management system, or other database system.</w:t>
            </w:r>
          </w:p>
          <w:p w14:paraId="01A8A5E6" w14:textId="26F82EC7" w:rsidR="2DEB528F" w:rsidRDefault="2DEB528F" w:rsidP="6D83E9F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5738C36" w14:textId="27C86DD2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Has relevant experience within an academic environment or equivalent.</w:t>
            </w:r>
          </w:p>
          <w:p w14:paraId="4ADB6C3F" w14:textId="42F75D46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6779A20" w14:textId="010CB629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Has experience of contributing to a project.</w:t>
            </w:r>
          </w:p>
          <w:p w14:paraId="11C53D88" w14:textId="43F808EF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EF2AB71" w14:textId="136B1A34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Has experience of working independently.</w:t>
            </w:r>
          </w:p>
        </w:tc>
      </w:tr>
      <w:tr w:rsidR="2DEB528F" w14:paraId="47D24267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228B" w14:textId="0BF2EEC9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Communication Skills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C5E4" w14:textId="1C5B0AA8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F78903F" w14:textId="7A7DEAB8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Communicates effectively orally, in writing and/or using visual media.</w:t>
            </w:r>
          </w:p>
          <w:p w14:paraId="2CD1E7F8" w14:textId="6BBCB56F" w:rsidR="2DEB528F" w:rsidRDefault="2DEB528F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DEB528F" w14:paraId="4DDE2B2C" w14:textId="77777777" w:rsidTr="448F3ED1">
        <w:trPr>
          <w:trHeight w:val="9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E03B" w14:textId="5013EC2C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Research, Teaching and Learning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5014" w14:textId="5E556B20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3A7C75D" w14:textId="0ED8F5FD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 understanding of how collections can support excellent teaching, </w:t>
            </w:r>
            <w:proofErr w:type="gramStart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pedagogy</w:t>
            </w:r>
            <w:proofErr w:type="gramEnd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inclusivity.</w:t>
            </w:r>
          </w:p>
        </w:tc>
      </w:tr>
      <w:tr w:rsidR="2DEB528F" w14:paraId="7EBEB4E9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336B" w14:textId="729D3C29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Planning and Managing resources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2CD0" w14:textId="202952C4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4538DC9" w14:textId="3461AE1F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Plans, </w:t>
            </w:r>
            <w:proofErr w:type="gramStart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prioritises</w:t>
            </w:r>
            <w:proofErr w:type="gramEnd"/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organises work to achieve objectives on time.</w:t>
            </w:r>
          </w:p>
        </w:tc>
      </w:tr>
      <w:tr w:rsidR="2DEB528F" w14:paraId="6BB301B1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53D2" w14:textId="6B0EA02A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Teamwork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F828" w14:textId="741C9F82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1A38DF3" w14:textId="2261B27B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Works collaboratively in a team, and where appropriate across, or with, different professional groups.</w:t>
            </w:r>
          </w:p>
        </w:tc>
      </w:tr>
      <w:tr w:rsidR="2DEB528F" w14:paraId="446B71A3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1972" w14:textId="683009A1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Student Experience or Customer Service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6D03" w14:textId="2800E240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4C44D0D" w14:textId="1908DCA5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Provides a positive and responsive student or customer service.</w:t>
            </w:r>
          </w:p>
        </w:tc>
      </w:tr>
      <w:tr w:rsidR="2DEB528F" w14:paraId="57F27BF0" w14:textId="77777777" w:rsidTr="448F3ED1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BB5" w14:textId="1EE5C323" w:rsidR="2DEB528F" w:rsidRDefault="385E69A7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5501" w14:textId="0BA98C5B" w:rsidR="2DEB528F" w:rsidRDefault="2DEB528F" w:rsidP="6D83E9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C1D8C60" w14:textId="0405761E" w:rsidR="2DEB528F" w:rsidRDefault="385E69A7" w:rsidP="2DEB528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D83E9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Uses initiative or creativity to resolve problems.</w:t>
            </w:r>
          </w:p>
        </w:tc>
      </w:tr>
    </w:tbl>
    <w:p w14:paraId="1FE42A5C" w14:textId="652C332D" w:rsidR="2DEB528F" w:rsidRDefault="2DEB528F" w:rsidP="2DEB528F"/>
    <w:sectPr w:rsidR="2DEB52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A2F0"/>
    <w:multiLevelType w:val="hybridMultilevel"/>
    <w:tmpl w:val="C960047A"/>
    <w:lvl w:ilvl="0" w:tplc="284655D6">
      <w:start w:val="1"/>
      <w:numFmt w:val="decimal"/>
      <w:lvlText w:val="%1."/>
      <w:lvlJc w:val="left"/>
      <w:pPr>
        <w:ind w:left="720" w:hanging="360"/>
      </w:pPr>
    </w:lvl>
    <w:lvl w:ilvl="1" w:tplc="447EEAE6">
      <w:start w:val="1"/>
      <w:numFmt w:val="lowerLetter"/>
      <w:lvlText w:val="%2."/>
      <w:lvlJc w:val="left"/>
      <w:pPr>
        <w:ind w:left="1440" w:hanging="360"/>
      </w:pPr>
    </w:lvl>
    <w:lvl w:ilvl="2" w:tplc="2BBE75F2">
      <w:start w:val="1"/>
      <w:numFmt w:val="lowerRoman"/>
      <w:lvlText w:val="%3."/>
      <w:lvlJc w:val="right"/>
      <w:pPr>
        <w:ind w:left="2160" w:hanging="180"/>
      </w:pPr>
    </w:lvl>
    <w:lvl w:ilvl="3" w:tplc="2020D20C">
      <w:start w:val="1"/>
      <w:numFmt w:val="decimal"/>
      <w:lvlText w:val="%4."/>
      <w:lvlJc w:val="left"/>
      <w:pPr>
        <w:ind w:left="2880" w:hanging="360"/>
      </w:pPr>
    </w:lvl>
    <w:lvl w:ilvl="4" w:tplc="93465336">
      <w:start w:val="1"/>
      <w:numFmt w:val="lowerLetter"/>
      <w:lvlText w:val="%5."/>
      <w:lvlJc w:val="left"/>
      <w:pPr>
        <w:ind w:left="3600" w:hanging="360"/>
      </w:pPr>
    </w:lvl>
    <w:lvl w:ilvl="5" w:tplc="9E3C0026">
      <w:start w:val="1"/>
      <w:numFmt w:val="lowerRoman"/>
      <w:lvlText w:val="%6."/>
      <w:lvlJc w:val="right"/>
      <w:pPr>
        <w:ind w:left="4320" w:hanging="180"/>
      </w:pPr>
    </w:lvl>
    <w:lvl w:ilvl="6" w:tplc="215415E6">
      <w:start w:val="1"/>
      <w:numFmt w:val="decimal"/>
      <w:lvlText w:val="%7."/>
      <w:lvlJc w:val="left"/>
      <w:pPr>
        <w:ind w:left="5040" w:hanging="360"/>
      </w:pPr>
    </w:lvl>
    <w:lvl w:ilvl="7" w:tplc="9804393E">
      <w:start w:val="1"/>
      <w:numFmt w:val="lowerLetter"/>
      <w:lvlText w:val="%8."/>
      <w:lvlJc w:val="left"/>
      <w:pPr>
        <w:ind w:left="5760" w:hanging="360"/>
      </w:pPr>
    </w:lvl>
    <w:lvl w:ilvl="8" w:tplc="48403E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5B11"/>
    <w:multiLevelType w:val="hybridMultilevel"/>
    <w:tmpl w:val="CF4A04E6"/>
    <w:lvl w:ilvl="0" w:tplc="5A889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E25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C5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2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8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D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6D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EB947"/>
    <w:multiLevelType w:val="hybridMultilevel"/>
    <w:tmpl w:val="3FDAF29E"/>
    <w:lvl w:ilvl="0" w:tplc="332A2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66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C8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0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B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C8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2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C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C0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19D9B"/>
    <w:multiLevelType w:val="hybridMultilevel"/>
    <w:tmpl w:val="5A04DF1C"/>
    <w:lvl w:ilvl="0" w:tplc="B6AA2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044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6B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C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E6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4F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362817">
    <w:abstractNumId w:val="0"/>
  </w:num>
  <w:num w:numId="2" w16cid:durableId="151331474">
    <w:abstractNumId w:val="2"/>
  </w:num>
  <w:num w:numId="3" w16cid:durableId="217786968">
    <w:abstractNumId w:val="3"/>
  </w:num>
  <w:num w:numId="4" w16cid:durableId="137129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C07AB3"/>
    <w:rsid w:val="004B2C27"/>
    <w:rsid w:val="00C07E91"/>
    <w:rsid w:val="00D816E3"/>
    <w:rsid w:val="00E21320"/>
    <w:rsid w:val="01441DC0"/>
    <w:rsid w:val="015A6E5F"/>
    <w:rsid w:val="02DFEE21"/>
    <w:rsid w:val="03849E1F"/>
    <w:rsid w:val="0733D5BD"/>
    <w:rsid w:val="082C1E8E"/>
    <w:rsid w:val="08B3EAD8"/>
    <w:rsid w:val="09455F8B"/>
    <w:rsid w:val="0D8EC44E"/>
    <w:rsid w:val="0E71A3BE"/>
    <w:rsid w:val="0EE9B1FB"/>
    <w:rsid w:val="11F172BD"/>
    <w:rsid w:val="12F4E956"/>
    <w:rsid w:val="14C53DED"/>
    <w:rsid w:val="15C22F5A"/>
    <w:rsid w:val="15D90E73"/>
    <w:rsid w:val="1921FA42"/>
    <w:rsid w:val="1A4C3F11"/>
    <w:rsid w:val="1B3ED54D"/>
    <w:rsid w:val="1D5EA85C"/>
    <w:rsid w:val="1D6BF2EA"/>
    <w:rsid w:val="1E33A439"/>
    <w:rsid w:val="22AFB42B"/>
    <w:rsid w:val="249A3A9D"/>
    <w:rsid w:val="24FEF692"/>
    <w:rsid w:val="27D81728"/>
    <w:rsid w:val="295172A1"/>
    <w:rsid w:val="2A111AE0"/>
    <w:rsid w:val="2A3CE972"/>
    <w:rsid w:val="2ADC515C"/>
    <w:rsid w:val="2B630487"/>
    <w:rsid w:val="2D222F3E"/>
    <w:rsid w:val="2DEB528F"/>
    <w:rsid w:val="2E50F66C"/>
    <w:rsid w:val="2F958316"/>
    <w:rsid w:val="320B6B58"/>
    <w:rsid w:val="334DA592"/>
    <w:rsid w:val="34ACBC38"/>
    <w:rsid w:val="37083288"/>
    <w:rsid w:val="385E69A7"/>
    <w:rsid w:val="3A4F5EE5"/>
    <w:rsid w:val="3B3B3452"/>
    <w:rsid w:val="3BB502FB"/>
    <w:rsid w:val="3BE2E879"/>
    <w:rsid w:val="3BF8A64E"/>
    <w:rsid w:val="3DEF081B"/>
    <w:rsid w:val="3E4BCDD4"/>
    <w:rsid w:val="408B567F"/>
    <w:rsid w:val="423662B4"/>
    <w:rsid w:val="42C07AB3"/>
    <w:rsid w:val="43D09B16"/>
    <w:rsid w:val="448F3ED1"/>
    <w:rsid w:val="44C8EE3B"/>
    <w:rsid w:val="46279A4C"/>
    <w:rsid w:val="4ADB4745"/>
    <w:rsid w:val="506BE035"/>
    <w:rsid w:val="534A506E"/>
    <w:rsid w:val="542C08C8"/>
    <w:rsid w:val="55BAC19F"/>
    <w:rsid w:val="569046F4"/>
    <w:rsid w:val="581EA04D"/>
    <w:rsid w:val="58D11AA8"/>
    <w:rsid w:val="592CB4B0"/>
    <w:rsid w:val="5943C0A5"/>
    <w:rsid w:val="5A6CEB09"/>
    <w:rsid w:val="5CB4ED20"/>
    <w:rsid w:val="61B35D7C"/>
    <w:rsid w:val="62E3F01B"/>
    <w:rsid w:val="66117876"/>
    <w:rsid w:val="672AB10D"/>
    <w:rsid w:val="676B15A2"/>
    <w:rsid w:val="67CEB5DF"/>
    <w:rsid w:val="6801C1F9"/>
    <w:rsid w:val="6875A75F"/>
    <w:rsid w:val="688AC0A6"/>
    <w:rsid w:val="6AB6CAEB"/>
    <w:rsid w:val="6B95B03A"/>
    <w:rsid w:val="6D83E9F0"/>
    <w:rsid w:val="6DE2CFD0"/>
    <w:rsid w:val="6E10ED86"/>
    <w:rsid w:val="6E25671D"/>
    <w:rsid w:val="6E33B213"/>
    <w:rsid w:val="6F8A3C0E"/>
    <w:rsid w:val="73A8D334"/>
    <w:rsid w:val="73F351C8"/>
    <w:rsid w:val="7BD2F099"/>
    <w:rsid w:val="7C4FA8E0"/>
    <w:rsid w:val="7E13AA69"/>
    <w:rsid w:val="7E6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7AB3"/>
  <w15:chartTrackingRefBased/>
  <w15:docId w15:val="{42984816-CD07-4326-B511-104581A0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llections.arts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gitalcollections.art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2EDE82155B64BB3D998B7C6673892" ma:contentTypeVersion="15" ma:contentTypeDescription="Create a new document." ma:contentTypeScope="" ma:versionID="1e569142cb876588e97efbc3e1413898">
  <xsd:schema xmlns:xsd="http://www.w3.org/2001/XMLSchema" xmlns:xs="http://www.w3.org/2001/XMLSchema" xmlns:p="http://schemas.microsoft.com/office/2006/metadata/properties" xmlns:ns2="255ff9ba-7d90-42b6-a8a4-acbe24a87443" xmlns:ns3="7a6d7996-c3e3-4937-b636-7851de6e653b" targetNamespace="http://schemas.microsoft.com/office/2006/metadata/properties" ma:root="true" ma:fieldsID="ea5e8d1ffbf1dc9330f0d368b61891f5" ns2:_="" ns3:_="">
    <xsd:import namespace="255ff9ba-7d90-42b6-a8a4-acbe24a87443"/>
    <xsd:import namespace="7a6d7996-c3e3-4937-b636-7851de6e6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f9ba-7d90-42b6-a8a4-acbe24a87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7996-c3e3-4937-b636-7851de6e6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e5d1a9f-f1a8-441a-b497-9d63c52a0007}" ma:internalName="TaxCatchAll" ma:showField="CatchAllData" ma:web="7a6d7996-c3e3-4937-b636-7851de6e6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6d7996-c3e3-4937-b636-7851de6e653b" xsi:nil="true"/>
    <lcf76f155ced4ddcb4097134ff3c332f xmlns="255ff9ba-7d90-42b6-a8a4-acbe24a87443">
      <Terms xmlns="http://schemas.microsoft.com/office/infopath/2007/PartnerControls"/>
    </lcf76f155ced4ddcb4097134ff3c332f>
    <SharedWithUsers xmlns="7a6d7996-c3e3-4937-b636-7851de6e653b">
      <UserInfo>
        <DisplayName>Chris Foreman</DisplayName>
        <AccountId>19</AccountId>
        <AccountType/>
      </UserInfo>
      <UserInfo>
        <DisplayName>Elisabeth Thurlow</DisplayName>
        <AccountId>23</AccountId>
        <AccountType/>
      </UserInfo>
      <UserInfo>
        <DisplayName>Jan Morgan</DisplayName>
        <AccountId>195</AccountId>
        <AccountType/>
      </UserInfo>
      <UserInfo>
        <DisplayName>Holger Aman</DisplayName>
        <AccountId>548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88DFC3-A84F-4128-93DD-112938546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f9ba-7d90-42b6-a8a4-acbe24a87443"/>
    <ds:schemaRef ds:uri="7a6d7996-c3e3-4937-b636-7851de6e6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49303-EF64-46FC-9778-B3505EA5F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2089A-1C13-46D0-8D45-E713269FF74A}">
  <ds:schemaRefs>
    <ds:schemaRef ds:uri="http://schemas.microsoft.com/office/2006/metadata/properties"/>
    <ds:schemaRef ds:uri="http://schemas.microsoft.com/office/infopath/2007/PartnerControls"/>
    <ds:schemaRef ds:uri="7a6d7996-c3e3-4937-b636-7851de6e653b"/>
    <ds:schemaRef ds:uri="255ff9ba-7d90-42b6-a8a4-acbe24a87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Mahurter</dc:creator>
  <cp:keywords/>
  <dc:description/>
  <cp:lastModifiedBy>Clara Adenuga</cp:lastModifiedBy>
  <cp:revision>2</cp:revision>
  <dcterms:created xsi:type="dcterms:W3CDTF">2023-03-20T14:27:00Z</dcterms:created>
  <dcterms:modified xsi:type="dcterms:W3CDTF">2023-03-20T14:27:00Z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0x010100EAF2EDE82155B64BB3D998B7C6673892</vt:lpwstr>
  </property>
  <property fmtid="{D5CDD505-2E9C-101B-9397-08002B2CF9AE}" pid="3" name="MediaServiceImageTags">
    <vt:lpwstr/>
  </property>
</Properties>
</file>