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7988" w14:textId="08789E21" w:rsidR="00BB5C6A" w:rsidRDefault="00BB5C6A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0E04AAF6" wp14:editId="174FF45F">
            <wp:simplePos x="0" y="0"/>
            <wp:positionH relativeFrom="column">
              <wp:posOffset>167005</wp:posOffset>
            </wp:positionH>
            <wp:positionV relativeFrom="paragraph">
              <wp:posOffset>-156210</wp:posOffset>
            </wp:positionV>
            <wp:extent cx="2876550" cy="533400"/>
            <wp:effectExtent l="0" t="0" r="0" b="0"/>
            <wp:wrapNone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5503E" w14:textId="77777777" w:rsidR="00BB5C6A" w:rsidRDefault="00BB5C6A">
      <w:pPr>
        <w:rPr>
          <w:rFonts w:ascii="Arial" w:hAnsi="Arial"/>
          <w:noProof/>
          <w:sz w:val="20"/>
        </w:rPr>
      </w:pPr>
    </w:p>
    <w:p w14:paraId="1ED41B57" w14:textId="77777777" w:rsidR="00BB5C6A" w:rsidRDefault="00BB5C6A">
      <w:pPr>
        <w:rPr>
          <w:rFonts w:ascii="Arial" w:hAnsi="Arial"/>
          <w:noProof/>
          <w:sz w:val="20"/>
        </w:rPr>
      </w:pPr>
    </w:p>
    <w:p w14:paraId="4A2990A7" w14:textId="77777777" w:rsidR="00BB5C6A" w:rsidRDefault="00BB5C6A">
      <w:pPr>
        <w:rPr>
          <w:rFonts w:ascii="Arial" w:hAnsi="Arial"/>
          <w:noProof/>
          <w:sz w:val="20"/>
        </w:rPr>
      </w:pPr>
    </w:p>
    <w:p w14:paraId="705145B1" w14:textId="77777777" w:rsidR="00BB5C6A" w:rsidRDefault="00BB5C6A">
      <w:pPr>
        <w:rPr>
          <w:rFonts w:ascii="Arial" w:hAnsi="Arial"/>
          <w:noProof/>
          <w:sz w:val="20"/>
        </w:rPr>
      </w:pPr>
    </w:p>
    <w:p w14:paraId="1AFB0E13" w14:textId="2EEE567C" w:rsidR="00594C01" w:rsidRDefault="00594C01">
      <w:pPr>
        <w:rPr>
          <w:rFonts w:ascii="Arial" w:hAnsi="Arial"/>
          <w:noProof/>
          <w:sz w:val="20"/>
        </w:rPr>
      </w:pPr>
    </w:p>
    <w:tbl>
      <w:tblPr>
        <w:tblW w:w="1043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977"/>
        <w:gridCol w:w="2159"/>
        <w:gridCol w:w="3369"/>
      </w:tblGrid>
      <w:tr w:rsidR="00BB5C6A" w14:paraId="38ACB888" w14:textId="77777777" w:rsidTr="00BB5C6A">
        <w:tc>
          <w:tcPr>
            <w:tcW w:w="10437" w:type="dxa"/>
            <w:gridSpan w:val="4"/>
            <w:tcBorders>
              <w:bottom w:val="single" w:sz="8" w:space="0" w:color="auto"/>
            </w:tcBorders>
          </w:tcPr>
          <w:p w14:paraId="2C57A048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BB5C6A" w14:paraId="713D588E" w14:textId="77777777" w:rsidTr="00BB5C6A">
        <w:trPr>
          <w:cantSplit/>
          <w:trHeight w:val="422"/>
        </w:trPr>
        <w:tc>
          <w:tcPr>
            <w:tcW w:w="4909" w:type="dxa"/>
            <w:gridSpan w:val="2"/>
            <w:tcBorders>
              <w:bottom w:val="nil"/>
              <w:right w:val="nil"/>
            </w:tcBorders>
            <w:vAlign w:val="center"/>
          </w:tcPr>
          <w:p w14:paraId="55301318" w14:textId="199C099D" w:rsidR="00594C01" w:rsidRPr="006E5BEA" w:rsidRDefault="00594C01" w:rsidP="007A55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860F63">
              <w:rPr>
                <w:rFonts w:ascii="Arial" w:hAnsi="Arial"/>
                <w:sz w:val="20"/>
              </w:rPr>
              <w:t xml:space="preserve"> </w:t>
            </w:r>
            <w:r w:rsidR="007A5529">
              <w:rPr>
                <w:rFonts w:ascii="Arial" w:hAnsi="Arial"/>
                <w:sz w:val="20"/>
              </w:rPr>
              <w:t xml:space="preserve">Student Recruitment </w:t>
            </w:r>
            <w:r w:rsidR="00860F63">
              <w:rPr>
                <w:rFonts w:ascii="Arial" w:hAnsi="Arial"/>
                <w:sz w:val="20"/>
              </w:rPr>
              <w:t>Coordinator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</w:tcBorders>
            <w:vAlign w:val="center"/>
          </w:tcPr>
          <w:p w14:paraId="305969D2" w14:textId="61CCC079" w:rsidR="00594C01" w:rsidRDefault="00143C49" w:rsidP="00860F6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726295">
              <w:rPr>
                <w:rFonts w:ascii="Arial" w:hAnsi="Arial"/>
                <w:sz w:val="20"/>
              </w:rPr>
              <w:t xml:space="preserve">Senior </w:t>
            </w:r>
            <w:r w:rsidR="00EE4B69">
              <w:rPr>
                <w:rFonts w:ascii="Arial" w:hAnsi="Arial"/>
                <w:sz w:val="20"/>
              </w:rPr>
              <w:t>Student Recruitment</w:t>
            </w:r>
            <w:r w:rsidR="00726295">
              <w:rPr>
                <w:rFonts w:ascii="Arial" w:hAnsi="Arial"/>
                <w:sz w:val="20"/>
              </w:rPr>
              <w:t xml:space="preserve"> Coordinator</w:t>
            </w:r>
          </w:p>
        </w:tc>
      </w:tr>
      <w:tr w:rsidR="00BB5C6A" w14:paraId="27466CDF" w14:textId="77777777" w:rsidTr="00BB5C6A">
        <w:trPr>
          <w:cantSplit/>
          <w:trHeight w:val="399"/>
        </w:trPr>
        <w:tc>
          <w:tcPr>
            <w:tcW w:w="3932" w:type="dxa"/>
            <w:tcBorders>
              <w:top w:val="nil"/>
              <w:bottom w:val="nil"/>
              <w:right w:val="nil"/>
            </w:tcBorders>
            <w:vAlign w:val="center"/>
          </w:tcPr>
          <w:p w14:paraId="597B336D" w14:textId="4DA29FE8" w:rsidR="00143C49" w:rsidRDefault="00143C49" w:rsidP="00E47A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</w:t>
            </w:r>
            <w:r w:rsidR="00E47A3E">
              <w:rPr>
                <w:rFonts w:ascii="Arial" w:hAnsi="Arial"/>
                <w:sz w:val="20"/>
              </w:rPr>
              <w:t>Permanent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AF8B" w14:textId="77777777" w:rsidR="00143C49" w:rsidRPr="00143C49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35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0C0B4443" w14:textId="77777777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807E7" w:rsidRPr="003807E7">
              <w:rPr>
                <w:rFonts w:ascii="Arial" w:hAnsi="Arial"/>
                <w:sz w:val="20"/>
              </w:rPr>
              <w:t>All</w:t>
            </w:r>
          </w:p>
        </w:tc>
      </w:tr>
      <w:tr w:rsidR="00BB5C6A" w14:paraId="650F0F4C" w14:textId="77777777" w:rsidTr="00BB5C6A">
        <w:trPr>
          <w:cantSplit/>
          <w:trHeight w:val="418"/>
        </w:trPr>
        <w:tc>
          <w:tcPr>
            <w:tcW w:w="49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CB7922" w14:textId="38BB1258" w:rsidR="00594C01" w:rsidRDefault="00143C49" w:rsidP="000E47C5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6308D">
              <w:rPr>
                <w:rFonts w:ascii="Arial" w:hAnsi="Arial"/>
                <w:sz w:val="20"/>
              </w:rPr>
              <w:t>£</w:t>
            </w:r>
            <w:r w:rsidR="000E47C5">
              <w:rPr>
                <w:rFonts w:ascii="Arial" w:hAnsi="Arial"/>
                <w:sz w:val="20"/>
              </w:rPr>
              <w:t>29,358 - £35,839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F2EA30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</w:t>
            </w:r>
            <w:r w:rsidR="00860F63">
              <w:rPr>
                <w:rFonts w:ascii="Arial" w:hAnsi="Arial"/>
                <w:sz w:val="20"/>
              </w:rPr>
              <w:t>3</w:t>
            </w:r>
          </w:p>
        </w:tc>
      </w:tr>
      <w:tr w:rsidR="00BB5C6A" w14:paraId="30696B76" w14:textId="77777777" w:rsidTr="00BB5C6A">
        <w:trPr>
          <w:cantSplit/>
          <w:trHeight w:val="368"/>
        </w:trPr>
        <w:tc>
          <w:tcPr>
            <w:tcW w:w="4909" w:type="dxa"/>
            <w:gridSpan w:val="2"/>
            <w:tcBorders>
              <w:top w:val="nil"/>
              <w:right w:val="nil"/>
            </w:tcBorders>
            <w:vAlign w:val="center"/>
          </w:tcPr>
          <w:p w14:paraId="0DCACAFA" w14:textId="77777777" w:rsidR="00594C01" w:rsidRPr="006E5BEA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London College of Communication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</w:tcBorders>
            <w:vAlign w:val="center"/>
          </w:tcPr>
          <w:p w14:paraId="37D98FAB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Elephant &amp; Castle</w:t>
            </w:r>
          </w:p>
        </w:tc>
      </w:tr>
      <w:tr w:rsidR="00BB5C6A" w14:paraId="3A28485A" w14:textId="77777777" w:rsidTr="00BB5C6A">
        <w:tc>
          <w:tcPr>
            <w:tcW w:w="10437" w:type="dxa"/>
            <w:gridSpan w:val="4"/>
          </w:tcPr>
          <w:p w14:paraId="218833CE" w14:textId="77777777" w:rsidR="00CB3FC1" w:rsidRPr="00C401AB" w:rsidRDefault="00594C01" w:rsidP="00CB3FC1">
            <w:pPr>
              <w:pStyle w:val="p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0F63">
              <w:rPr>
                <w:rFonts w:ascii="Arial" w:hAnsi="Arial"/>
                <w:b/>
                <w:sz w:val="20"/>
              </w:rPr>
              <w:t>Purpose of Role:</w:t>
            </w:r>
            <w:r w:rsidRPr="00860F63">
              <w:rPr>
                <w:rFonts w:ascii="Arial" w:hAnsi="Arial"/>
                <w:sz w:val="20"/>
              </w:rPr>
              <w:t xml:space="preserve"> </w:t>
            </w:r>
            <w:r w:rsidR="00CB3FC1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>London College of Communication</w:t>
            </w:r>
            <w:r w:rsidR="00CB3FC1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(LCC)</w:t>
            </w:r>
            <w:r w:rsidR="00CB3FC1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is a pioneering world leader in creative communications education. We nurture and develop the critical, creative, and technical excellence needed to discover new possibilities and practices in creative communications, through a diverse, world-leading community of teaching, research and partnerships with industry. Future plans for the College include a cutting edge new building that will allow us to explore our approach to learning and teaching, engaging with our communities, and contribution to the wider creative and cultural landscape.</w:t>
            </w:r>
          </w:p>
          <w:p w14:paraId="01381C3D" w14:textId="77777777" w:rsidR="00CB3FC1" w:rsidRDefault="00CB3FC1" w:rsidP="00CB3FC1">
            <w:pPr>
              <w:rPr>
                <w:rFonts w:ascii="Arial" w:hAnsi="Arial"/>
                <w:sz w:val="20"/>
              </w:rPr>
            </w:pPr>
          </w:p>
          <w:p w14:paraId="574C6DA0" w14:textId="7F471AFC" w:rsidR="00864E7B" w:rsidRDefault="00CB3F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this role is</w:t>
            </w:r>
            <w:r>
              <w:rPr>
                <w:rFonts w:ascii="Arial" w:hAnsi="Arial"/>
                <w:sz w:val="20"/>
              </w:rPr>
              <w:t xml:space="preserve"> t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72307">
              <w:rPr>
                <w:rFonts w:ascii="Arial" w:hAnsi="Arial" w:cs="Arial"/>
                <w:sz w:val="20"/>
                <w:szCs w:val="20"/>
              </w:rPr>
              <w:t>coordinate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 xml:space="preserve"> a range of student recruitment</w:t>
            </w:r>
            <w:r w:rsidR="00DA3115">
              <w:rPr>
                <w:rFonts w:ascii="Arial" w:hAnsi="Arial" w:cs="Arial"/>
                <w:sz w:val="20"/>
                <w:szCs w:val="20"/>
              </w:rPr>
              <w:t xml:space="preserve"> events and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aimed at increasing the quantity and quality of applications </w:t>
            </w:r>
            <w:r w:rsidR="00DA3115">
              <w:rPr>
                <w:rFonts w:ascii="Arial" w:hAnsi="Arial" w:cs="Arial"/>
                <w:sz w:val="20"/>
                <w:szCs w:val="20"/>
              </w:rPr>
              <w:t>to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courses </w:t>
            </w:r>
            <w:r w:rsidR="00B72307">
              <w:rPr>
                <w:rFonts w:ascii="Arial" w:hAnsi="Arial" w:cs="Arial"/>
                <w:sz w:val="20"/>
                <w:szCs w:val="20"/>
              </w:rPr>
              <w:t>at London College of Communication (LCC)</w:t>
            </w:r>
            <w:r w:rsidR="004B7B34">
              <w:rPr>
                <w:rFonts w:ascii="Arial" w:hAnsi="Arial" w:cs="Arial"/>
                <w:sz w:val="20"/>
                <w:szCs w:val="20"/>
              </w:rPr>
              <w:t>,</w:t>
            </w:r>
            <w:r w:rsidR="00B72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853B2">
              <w:rPr>
                <w:rFonts w:ascii="Arial" w:hAnsi="Arial" w:cs="Arial"/>
                <w:sz w:val="20"/>
                <w:szCs w:val="20"/>
              </w:rPr>
              <w:t>supporti</w:t>
            </w:r>
            <w:r w:rsidR="00DA3115">
              <w:rPr>
                <w:rFonts w:ascii="Arial" w:hAnsi="Arial" w:cs="Arial"/>
                <w:sz w:val="20"/>
                <w:szCs w:val="20"/>
              </w:rPr>
              <w:t>ng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the conversion of </w:t>
            </w:r>
            <w:r w:rsidR="007D6F49">
              <w:rPr>
                <w:rFonts w:ascii="Arial" w:hAnsi="Arial" w:cs="Arial"/>
                <w:sz w:val="20"/>
                <w:szCs w:val="20"/>
              </w:rPr>
              <w:t xml:space="preserve">enquiries to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applications </w:t>
            </w:r>
            <w:r w:rsidR="00DA3115">
              <w:rPr>
                <w:rFonts w:ascii="Arial" w:hAnsi="Arial" w:cs="Arial"/>
                <w:sz w:val="20"/>
                <w:szCs w:val="20"/>
              </w:rPr>
              <w:t>to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enrolments. </w:t>
            </w:r>
            <w:r w:rsidR="00207F1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post holder will also </w:t>
            </w:r>
            <w:r w:rsidR="00207F1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536A8E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207F1E">
              <w:rPr>
                <w:rFonts w:ascii="Arial" w:hAnsi="Arial" w:cs="Arial"/>
                <w:sz w:val="20"/>
                <w:szCs w:val="20"/>
              </w:rPr>
              <w:t>support to the delivery of LCC’s marketing and promotional campaigns as required.</w:t>
            </w:r>
          </w:p>
          <w:p w14:paraId="2A167236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BB5C6A" w14:paraId="2394A1F6" w14:textId="77777777" w:rsidTr="00BB5C6A">
        <w:tc>
          <w:tcPr>
            <w:tcW w:w="10437" w:type="dxa"/>
            <w:gridSpan w:val="4"/>
          </w:tcPr>
          <w:p w14:paraId="366C6A28" w14:textId="492F4750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Duties and Responsibilities</w:t>
            </w:r>
          </w:p>
          <w:p w14:paraId="7831429D" w14:textId="77777777" w:rsidR="004879C9" w:rsidRPr="004B7B34" w:rsidRDefault="004879C9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4D5892F" w14:textId="77777777" w:rsidR="00B72307" w:rsidRPr="004B7B34" w:rsidRDefault="00B7230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Principle responsibilities</w:t>
            </w:r>
          </w:p>
          <w:p w14:paraId="1A9DC4BB" w14:textId="191A7D1A" w:rsidR="00BD6F09" w:rsidRPr="00BB5C6A" w:rsidRDefault="00BD6F09" w:rsidP="00BD6F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organise a range of student recruitment events including open days and offer holder days.</w:t>
            </w:r>
          </w:p>
          <w:p w14:paraId="5EFC8532" w14:textId="215F381B" w:rsidR="00572E6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student recruitment activities for London College of Communication</w:t>
            </w:r>
            <w:r w:rsidR="00BD6F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external recruitment fair visits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8EC70D" w14:textId="631C1D58" w:rsidR="00B72307" w:rsidRDefault="00B72307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utilise a wide range of tools and materials to both increase </w:t>
            </w:r>
            <w:r w:rsidR="004039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applications and support conversion to enrolment.</w:t>
            </w:r>
          </w:p>
          <w:p w14:paraId="5D59D699" w14:textId="537C1D7E" w:rsidR="00BD6F09" w:rsidRPr="004B7B34" w:rsidRDefault="00B702E1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provide </w:t>
            </w:r>
            <w:r w:rsidR="00AB7A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to the delivery of LCC’s marketing and promotion plans as required.</w:t>
            </w:r>
          </w:p>
          <w:p w14:paraId="3877092D" w14:textId="77777777" w:rsidR="00B72307" w:rsidRPr="004B7B34" w:rsidRDefault="00B72307" w:rsidP="00B723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A7D9D1" w14:textId="77777777" w:rsidR="00B72307" w:rsidRPr="004B7B34" w:rsidRDefault="00B72307" w:rsidP="00B7230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Recruitment events</w:t>
            </w:r>
          </w:p>
          <w:p w14:paraId="475BF1EE" w14:textId="086FA9FC" w:rsidR="00633141" w:rsidRPr="004B7B34" w:rsidRDefault="00633141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organise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 events</w:t>
            </w:r>
            <w:r w:rsidR="0004245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open days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/evenings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B73F6">
              <w:rPr>
                <w:rFonts w:ascii="Arial" w:hAnsi="Arial" w:cs="Arial"/>
                <w:color w:val="000000" w:themeColor="text1"/>
                <w:sz w:val="20"/>
                <w:szCs w:val="20"/>
              </w:rPr>
              <w:t>offer holder</w:t>
            </w:r>
            <w:r w:rsidR="00AB73F6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days, </w:t>
            </w:r>
            <w:r w:rsidR="000424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contributing to</w:t>
            </w:r>
            <w:r w:rsidR="00042457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56265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consistently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quality visitor experience</w:t>
            </w:r>
            <w:r w:rsidR="00A33E98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D5D0A7C" w14:textId="77777777" w:rsidR="00C833FC" w:rsidRPr="004B7B34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coordinate logistics for London College of Communication’s attendance at external student recruitment events, including accommodation, travel and couriers.</w:t>
            </w:r>
          </w:p>
          <w:p w14:paraId="6567F469" w14:textId="77777777" w:rsidR="00C833FC" w:rsidRPr="004B7B34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represent London College of Communication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provide information and advice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external student recruitment events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0185747" w14:textId="77777777" w:rsidR="00E22A89" w:rsidRPr="004B7B34" w:rsidRDefault="00E22A89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record, store and run reports on marketing data related to recruitment events organised and attended by the College.</w:t>
            </w:r>
          </w:p>
          <w:p w14:paraId="20D937A8" w14:textId="77777777" w:rsidR="0032516F" w:rsidRPr="004B7B34" w:rsidRDefault="00E22A89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A0F36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 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 communications to stakeholders of recruitment events, including attendees, students, and academic and support staff</w:t>
            </w:r>
            <w:r w:rsidR="006952FA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838DAFB" w14:textId="20584589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coordinate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tudent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Ambassadors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’ involvement in marketing and recruitment activities, including briefing students on specific roles/responsibilities and handling payments.</w:t>
            </w:r>
          </w:p>
          <w:p w14:paraId="4835BCCE" w14:textId="329988B9" w:rsidR="00FD1A8F" w:rsidRPr="004B7B34" w:rsidRDefault="00FD1A8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organise training activities for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tudent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Ambassadors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 they provide professional support at student recruitment events.</w:t>
            </w:r>
          </w:p>
          <w:p w14:paraId="5098FAB5" w14:textId="77777777" w:rsidR="0032516F" w:rsidRPr="004B7B34" w:rsidRDefault="0032516F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D6E3B9" w14:textId="77777777" w:rsidR="0032516F" w:rsidRPr="004B7B34" w:rsidRDefault="0032516F" w:rsidP="00325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Budget/resource monitoring</w:t>
            </w:r>
          </w:p>
          <w:p w14:paraId="29EAEE40" w14:textId="77777777" w:rsidR="0032516F" w:rsidRPr="004B7B34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routinely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stock levels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marketing materials so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suitable quantities are available for recruitment activities.</w:t>
            </w:r>
          </w:p>
          <w:p w14:paraId="34C2D003" w14:textId="77777777" w:rsidR="0032516F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raise purchase orders and process payments from the LCC marketing budget.</w:t>
            </w:r>
          </w:p>
          <w:p w14:paraId="37D69B53" w14:textId="77777777" w:rsidR="00042457" w:rsidRDefault="00042457" w:rsidP="00BB5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BCB210" w14:textId="77777777" w:rsidR="00042457" w:rsidRPr="00BB5C6A" w:rsidRDefault="00042457" w:rsidP="00BB5C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5C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Printed materials and promotional merchandise</w:t>
            </w:r>
          </w:p>
          <w:p w14:paraId="4907BECB" w14:textId="6B2B2113" w:rsidR="00042457" w:rsidRPr="00BB5C6A" w:rsidRDefault="00042457" w:rsidP="00BB5C6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To </w:t>
            </w:r>
            <w:r w:rsidR="00F416F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design and production of printed materials that promote and support recruitment events and activities, in line with branding guidelines.</w:t>
            </w:r>
          </w:p>
          <w:p w14:paraId="3B4A1BD3" w14:textId="77777777" w:rsidR="00C833FC" w:rsidRPr="004B7B34" w:rsidRDefault="00C833FC" w:rsidP="00C833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1A4A1E" w14:textId="77777777" w:rsidR="00E22A89" w:rsidRPr="004B7B34" w:rsidRDefault="00E22A89" w:rsidP="00E22A8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Campaign planning and implementation</w:t>
            </w:r>
          </w:p>
          <w:p w14:paraId="7C9A19EA" w14:textId="77777777" w:rsidR="00E22A89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32516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coordinate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recruitment campaigns for specific subject areas 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order to address recruitment priorities and needs. </w:t>
            </w:r>
          </w:p>
          <w:p w14:paraId="3EE12EFA" w14:textId="77777777" w:rsidR="00FD1A8F" w:rsidRPr="004B7B34" w:rsidRDefault="00E40D53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utilise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communication channels (online and offline) for reaching target audiences.</w:t>
            </w:r>
          </w:p>
          <w:p w14:paraId="5FD40828" w14:textId="77777777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coordinate the production of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compelling and engaging print and digital advertising that raises awareness of LCC’s courses and generates enquiries, open day bookings and applications.</w:t>
            </w:r>
          </w:p>
          <w:p w14:paraId="6449D07A" w14:textId="6F915BE7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contribute to the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>y of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communications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support conversion between key recruitment touch points, including enquiry, open day visit, application, offer and enrolment. Elements of the plan to include 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recruitment events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targeted HTML e</w:t>
            </w:r>
            <w:r w:rsidR="004F79F9">
              <w:rPr>
                <w:rFonts w:ascii="Arial" w:hAnsi="Arial" w:cs="Arial"/>
                <w:color w:val="000000" w:themeColor="text1"/>
                <w:sz w:val="20"/>
                <w:szCs w:val="20"/>
              </w:rPr>
              <w:t>mails.</w:t>
            </w:r>
          </w:p>
          <w:p w14:paraId="7ECFD260" w14:textId="56DD0127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review and </w:t>
            </w:r>
            <w:r w:rsidR="00B87020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referral sites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information sources with accurate</w:t>
            </w:r>
            <w:r w:rsidR="002325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engaging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 about </w:t>
            </w:r>
            <w:r w:rsidR="002325E0">
              <w:rPr>
                <w:rFonts w:ascii="Arial" w:hAnsi="Arial" w:cs="Arial"/>
                <w:color w:val="000000" w:themeColor="text1"/>
                <w:sz w:val="20"/>
                <w:szCs w:val="20"/>
              </w:rPr>
              <w:t>LCC and its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recruitment events.</w:t>
            </w:r>
          </w:p>
          <w:p w14:paraId="05C6A8F6" w14:textId="77777777" w:rsidR="00FD1A8F" w:rsidRPr="004B7B34" w:rsidRDefault="00FD1A8F" w:rsidP="00E22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4C910D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Stakeholder communication and networking</w:t>
            </w:r>
          </w:p>
          <w:p w14:paraId="61657597" w14:textId="77777777" w:rsidR="00572E64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contribute to activities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relationships with key feeder institutions to support recruitment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5D01D8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1C62BB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Marketing intelligence</w:t>
            </w:r>
          </w:p>
          <w:p w14:paraId="470480AA" w14:textId="77777777" w:rsidR="00E40D53" w:rsidRPr="004B7B34" w:rsidRDefault="00E40D53" w:rsidP="00E40D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assist with market research and data analysis to support marketing planning and evaluation.</w:t>
            </w:r>
          </w:p>
          <w:p w14:paraId="12C8E6B5" w14:textId="5378320B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review and evaluate </w:t>
            </w:r>
            <w:r w:rsidR="00CA73F2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recruitment</w:t>
            </w:r>
            <w:r w:rsidR="00CA73F2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activities, including the compilation and analysis of data to </w:t>
            </w:r>
            <w:r w:rsidR="00B9300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marketing reports.</w:t>
            </w:r>
          </w:p>
          <w:p w14:paraId="40476547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051F20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Team working</w:t>
            </w:r>
          </w:p>
          <w:p w14:paraId="7587C94A" w14:textId="4524BE11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wider 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>LCC Internal and External Relations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416FE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initiatives that raise the profile of the College and enhance its reputation.</w:t>
            </w:r>
          </w:p>
          <w:p w14:paraId="754224B3" w14:textId="2D9C657F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closely with colleagues across the College, including academic and admin staff, taking a </w:t>
            </w:r>
            <w:r w:rsidR="00EC7987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joined-up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approach to recruitment and foster a positive culture of collaboration.</w:t>
            </w:r>
          </w:p>
          <w:p w14:paraId="0586DAF2" w14:textId="56568676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develop effective working relationships with </w:t>
            </w:r>
            <w:r w:rsidR="004039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recruitment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colleagues across the University and the other Colleges.</w:t>
            </w:r>
          </w:p>
          <w:p w14:paraId="218A2964" w14:textId="77777777" w:rsidR="009357D5" w:rsidRPr="004B7B34" w:rsidRDefault="009357D5" w:rsidP="009357D5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62B300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responsibilities</w:t>
            </w:r>
          </w:p>
          <w:p w14:paraId="0179E065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A22A8E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health and safety duties and responsibilities appropriate to the role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475557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A1C20B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9E1F39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make full use of all information and communication technologies </w:t>
            </w:r>
            <w:r w:rsidRPr="004B7B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 adherence to data protection policies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meet the requirements of the role and to promote organisational effectiveness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B20B7E1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3B1B57" w14:textId="77777777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5C6A" w14:paraId="5B92343E" w14:textId="77777777" w:rsidTr="00BB5C6A">
        <w:trPr>
          <w:trHeight w:val="1252"/>
        </w:trPr>
        <w:tc>
          <w:tcPr>
            <w:tcW w:w="10437" w:type="dxa"/>
            <w:gridSpan w:val="4"/>
          </w:tcPr>
          <w:p w14:paraId="18162D8A" w14:textId="77777777" w:rsidR="00594C01" w:rsidRPr="004B7B34" w:rsidRDefault="00594C01">
            <w:pPr>
              <w:pStyle w:val="Heading4"/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b/>
                <w:color w:val="000000" w:themeColor="text1"/>
                <w:sz w:val="20"/>
                <w:szCs w:val="20"/>
              </w:rPr>
              <w:lastRenderedPageBreak/>
              <w:t>Key Working Relationships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25DDD270" w14:textId="5272538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="003D14F7">
              <w:rPr>
                <w:color w:val="000000" w:themeColor="text1"/>
                <w:sz w:val="20"/>
                <w:szCs w:val="20"/>
                <w:u w:val="none"/>
              </w:rPr>
              <w:t>Internal and External Relations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93007">
              <w:rPr>
                <w:color w:val="000000" w:themeColor="text1"/>
                <w:sz w:val="20"/>
                <w:szCs w:val="20"/>
                <w:u w:val="none"/>
              </w:rPr>
              <w:t>Department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;</w:t>
            </w:r>
          </w:p>
          <w:p w14:paraId="49DEDB38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 College Management Team;</w:t>
            </w:r>
          </w:p>
          <w:p w14:paraId="058CC698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Course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>Leaders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and Programme Directors;</w:t>
            </w:r>
          </w:p>
          <w:p w14:paraId="04AB6121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College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Information Centre;</w:t>
            </w:r>
          </w:p>
          <w:p w14:paraId="3DB9F366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Admissions Team;</w:t>
            </w:r>
          </w:p>
          <w:p w14:paraId="21BB63AD" w14:textId="6E54E8DC" w:rsidR="009357D5" w:rsidRPr="004B7B34" w:rsidRDefault="009357D5" w:rsidP="009357D5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UAL </w:t>
            </w:r>
            <w:r w:rsidR="00B93007">
              <w:rPr>
                <w:color w:val="000000" w:themeColor="text1"/>
                <w:sz w:val="20"/>
                <w:szCs w:val="20"/>
                <w:u w:val="none"/>
              </w:rPr>
              <w:t xml:space="preserve">Student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Marketing and Recruitment </w:t>
            </w:r>
            <w:r w:rsidR="00B93007">
              <w:rPr>
                <w:color w:val="000000" w:themeColor="text1"/>
                <w:sz w:val="20"/>
                <w:szCs w:val="20"/>
                <w:u w:val="none"/>
              </w:rPr>
              <w:t>T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eam;</w:t>
            </w:r>
          </w:p>
          <w:p w14:paraId="2CEBB299" w14:textId="77777777" w:rsidR="00D65F90" w:rsidRPr="004B7B34" w:rsidRDefault="00EF4A9E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Other staff,</w:t>
            </w:r>
            <w:r w:rsidR="00D65F90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external partners and suppliers etc with whom regular contact is required.</w:t>
            </w:r>
          </w:p>
          <w:p w14:paraId="692F6DBF" w14:textId="77777777" w:rsidR="00594C01" w:rsidRPr="004B7B34" w:rsidRDefault="00594C01" w:rsidP="00D65F90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5C6A" w14:paraId="553592FC" w14:textId="77777777" w:rsidTr="00BB5C6A">
        <w:tc>
          <w:tcPr>
            <w:tcW w:w="10437" w:type="dxa"/>
            <w:gridSpan w:val="4"/>
          </w:tcPr>
          <w:p w14:paraId="12EB1208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F1F78C6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56922CA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lastRenderedPageBreak/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D65F90">
              <w:rPr>
                <w:rFonts w:ascii="Arial" w:hAnsi="Arial"/>
                <w:sz w:val="20"/>
              </w:rPr>
              <w:t xml:space="preserve"> </w:t>
            </w:r>
            <w:r w:rsidR="00F37226">
              <w:rPr>
                <w:rFonts w:ascii="Arial" w:hAnsi="Arial"/>
                <w:sz w:val="20"/>
              </w:rPr>
              <w:t>Not applicable.</w:t>
            </w:r>
          </w:p>
          <w:p w14:paraId="3D687793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BC01439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D65F90">
              <w:t xml:space="preserve"> </w:t>
            </w:r>
            <w:r w:rsidR="00F37226">
              <w:t>Not applicable.</w:t>
            </w:r>
          </w:p>
          <w:p w14:paraId="42D4B609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5583D53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</w:tc>
      </w:tr>
    </w:tbl>
    <w:p w14:paraId="0354B4E1" w14:textId="77777777" w:rsidR="00594C01" w:rsidRDefault="00594C01">
      <w:pPr>
        <w:rPr>
          <w:rFonts w:ascii="Arial" w:hAnsi="Arial"/>
          <w:b/>
          <w:sz w:val="20"/>
        </w:rPr>
      </w:pPr>
    </w:p>
    <w:p w14:paraId="63ABBB5B" w14:textId="5D9DCCCF" w:rsidR="00594C01" w:rsidRDefault="004731C5" w:rsidP="00111869">
      <w:pPr>
        <w:outlineLvl w:val="0"/>
        <w:rPr>
          <w:rFonts w:ascii="Arial" w:hAnsi="Arial"/>
          <w:b/>
          <w:sz w:val="20"/>
        </w:rPr>
      </w:pPr>
      <w:r>
        <w:tab/>
        <w:t xml:space="preserve">HERA - </w:t>
      </w:r>
      <w:r w:rsidR="00C6308D">
        <w:t>LCC-2015-15</w:t>
      </w:r>
    </w:p>
    <w:p w14:paraId="4E3F84ED" w14:textId="77777777" w:rsidR="00594C01" w:rsidRDefault="00594C01">
      <w:pPr>
        <w:rPr>
          <w:rFonts w:ascii="Arial" w:hAnsi="Arial"/>
          <w:b/>
          <w:sz w:val="20"/>
        </w:rPr>
      </w:pPr>
    </w:p>
    <w:p w14:paraId="715E8CCB" w14:textId="77777777" w:rsidR="00BB5C6A" w:rsidRDefault="00BB5C6A">
      <w:pPr>
        <w:rPr>
          <w:rFonts w:ascii="Arial" w:hAnsi="Arial"/>
          <w:b/>
          <w:sz w:val="20"/>
        </w:rPr>
      </w:pPr>
    </w:p>
    <w:p w14:paraId="534C2EFF" w14:textId="77777777" w:rsidR="00BB5C6A" w:rsidRDefault="00BB5C6A">
      <w:pPr>
        <w:rPr>
          <w:rFonts w:ascii="Arial" w:hAnsi="Arial"/>
          <w:b/>
          <w:sz w:val="20"/>
        </w:rPr>
      </w:pPr>
    </w:p>
    <w:p w14:paraId="75DB5408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BF2181B" w14:textId="31E38746" w:rsidR="00726295" w:rsidRDefault="00594C01" w:rsidP="00BB5C6A">
      <w:pPr>
        <w:pStyle w:val="BodyText2"/>
      </w:pPr>
      <w:r>
        <w:rPr>
          <w:rFonts w:cs="Times New Roman"/>
        </w:rPr>
        <w:tab/>
        <w:t>(Recruiting Manager)</w:t>
      </w:r>
    </w:p>
    <w:p w14:paraId="51939EC5" w14:textId="77777777" w:rsidR="00726295" w:rsidRDefault="00726295">
      <w:pPr>
        <w:spacing w:line="240" w:lineRule="atLeast"/>
        <w:rPr>
          <w:rFonts w:ascii="Arial" w:hAnsi="Arial" w:cs="Arial"/>
          <w:sz w:val="20"/>
        </w:rPr>
      </w:pPr>
    </w:p>
    <w:p w14:paraId="273ED90A" w14:textId="77777777" w:rsidR="00726295" w:rsidRDefault="00726295">
      <w:pPr>
        <w:spacing w:line="240" w:lineRule="atLeast"/>
        <w:rPr>
          <w:rFonts w:ascii="Arial" w:hAnsi="Arial" w:cs="Arial"/>
          <w:sz w:val="20"/>
        </w:rPr>
      </w:pPr>
    </w:p>
    <w:p w14:paraId="0AC16BDF" w14:textId="46F33B7E" w:rsidR="007E1B5A" w:rsidRDefault="007E1B5A" w:rsidP="007E1B5A">
      <w:pPr>
        <w:ind w:firstLine="720"/>
        <w:rPr>
          <w:rFonts w:ascii="Arial" w:hAnsi="Arial" w:cs="Arial"/>
          <w:sz w:val="20"/>
        </w:rPr>
      </w:pPr>
      <w:r w:rsidRPr="00FD7F6E">
        <w:rPr>
          <w:rFonts w:ascii="Arial" w:hAnsi="Arial" w:cs="Arial"/>
          <w:b/>
          <w:sz w:val="28"/>
          <w:szCs w:val="28"/>
        </w:rPr>
        <w:t>Job Title: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F3339">
        <w:rPr>
          <w:rFonts w:ascii="Arial" w:hAnsi="Arial"/>
          <w:b/>
          <w:sz w:val="28"/>
          <w:szCs w:val="28"/>
        </w:rPr>
        <w:t>Student Recruitment</w:t>
      </w:r>
      <w:r w:rsidRPr="00FD7F6E">
        <w:rPr>
          <w:rFonts w:ascii="Arial" w:hAnsi="Arial"/>
          <w:b/>
          <w:sz w:val="28"/>
          <w:szCs w:val="28"/>
        </w:rPr>
        <w:t xml:space="preserve"> Coordinator</w:t>
      </w:r>
      <w:r>
        <w:rPr>
          <w:rFonts w:ascii="Arial" w:hAnsi="Arial"/>
          <w:b/>
          <w:sz w:val="28"/>
          <w:szCs w:val="28"/>
        </w:rPr>
        <w:t xml:space="preserve"> </w:t>
      </w:r>
      <w:r w:rsidR="00CD489E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Grade 3</w:t>
      </w:r>
    </w:p>
    <w:p w14:paraId="39540BF3" w14:textId="77777777" w:rsidR="004B7B34" w:rsidRDefault="004B7B34">
      <w:pPr>
        <w:rPr>
          <w:rFonts w:ascii="Arial" w:hAnsi="Arial" w:cs="Arial"/>
          <w:sz w:val="20"/>
        </w:rPr>
      </w:pP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2240"/>
        <w:gridCol w:w="7399"/>
      </w:tblGrid>
      <w:tr w:rsidR="007E1B5A" w:rsidRPr="007E1B5A" w14:paraId="0F44B1EB" w14:textId="77777777" w:rsidTr="00D70D77">
        <w:tc>
          <w:tcPr>
            <w:tcW w:w="9639" w:type="dxa"/>
            <w:gridSpan w:val="2"/>
            <w:shd w:val="clear" w:color="auto" w:fill="000000" w:themeFill="text1"/>
          </w:tcPr>
          <w:p w14:paraId="685B3D1F" w14:textId="77777777" w:rsidR="007E1B5A" w:rsidRPr="007E1B5A" w:rsidRDefault="007E1B5A" w:rsidP="00E35F94">
            <w:pPr>
              <w:rPr>
                <w:rFonts w:ascii="Arial" w:hAnsi="Arial" w:cs="Arial"/>
                <w:b/>
                <w:szCs w:val="22"/>
              </w:rPr>
            </w:pPr>
            <w:r w:rsidRPr="007E1B5A">
              <w:rPr>
                <w:rFonts w:ascii="Arial" w:hAnsi="Arial" w:cs="Arial"/>
                <w:b/>
                <w:szCs w:val="22"/>
              </w:rPr>
              <w:t>Person Specification</w:t>
            </w:r>
          </w:p>
        </w:tc>
      </w:tr>
      <w:tr w:rsidR="007E1B5A" w:rsidRPr="007E1B5A" w14:paraId="568E5B85" w14:textId="77777777" w:rsidTr="00BB5C6A">
        <w:trPr>
          <w:trHeight w:val="3414"/>
        </w:trPr>
        <w:tc>
          <w:tcPr>
            <w:tcW w:w="2240" w:type="dxa"/>
          </w:tcPr>
          <w:p w14:paraId="596A4E2D" w14:textId="77777777" w:rsidR="007E1B5A" w:rsidRPr="007E1B5A" w:rsidRDefault="007E1B5A" w:rsidP="00E35F94">
            <w:pPr>
              <w:rPr>
                <w:rFonts w:ascii="Arial" w:hAnsi="Arial" w:cs="Arial"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7399" w:type="dxa"/>
          </w:tcPr>
          <w:p w14:paraId="5E45EAF7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Professional qualification or equivalent in marketing or a related discipline.</w:t>
            </w:r>
          </w:p>
          <w:p w14:paraId="3B53DEAC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Understanding of key issues related to student recruitment and marketing in the higher education sector.</w:t>
            </w:r>
          </w:p>
          <w:p w14:paraId="1B923744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 high level of IT literacy.</w:t>
            </w:r>
          </w:p>
          <w:p w14:paraId="535EE9D1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Knowledge of customer relationship management principles and practices.</w:t>
            </w:r>
          </w:p>
          <w:p w14:paraId="7B3CE704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Ability to produce engaging and persuasive marketing communications for a range of different audiences. </w:t>
            </w:r>
          </w:p>
          <w:p w14:paraId="6A777A77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Ability to record, analyse, interpret and compare marketing data to inform planning decisions.</w:t>
            </w:r>
          </w:p>
          <w:p w14:paraId="3B67D75D" w14:textId="77777777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Ability to contribute to the training of open day staff, in particular student helpers.</w:t>
            </w:r>
          </w:p>
          <w:p w14:paraId="04A2045F" w14:textId="77777777" w:rsidR="00D70D77" w:rsidRPr="00D70D77" w:rsidRDefault="00D70D77" w:rsidP="00D70D77">
            <w:pPr>
              <w:ind w:left="46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E1B5A" w:rsidRPr="007E1B5A" w14:paraId="479D1D7D" w14:textId="77777777" w:rsidTr="00BB5C6A">
        <w:trPr>
          <w:trHeight w:val="3249"/>
        </w:trPr>
        <w:tc>
          <w:tcPr>
            <w:tcW w:w="2240" w:type="dxa"/>
          </w:tcPr>
          <w:p w14:paraId="099273D2" w14:textId="77777777" w:rsidR="007E1B5A" w:rsidRDefault="007E1B5A" w:rsidP="00E35F94">
            <w:pPr>
              <w:rPr>
                <w:rFonts w:ascii="Arial" w:hAnsi="Arial" w:cs="Arial"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 xml:space="preserve">Relevant Experience </w:t>
            </w:r>
          </w:p>
          <w:p w14:paraId="2E59E132" w14:textId="77777777" w:rsidR="00BB5C6A" w:rsidRPr="007E1B5A" w:rsidRDefault="00BB5C6A" w:rsidP="00E35F9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99" w:type="dxa"/>
          </w:tcPr>
          <w:p w14:paraId="492119E0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Experience of working in a marketing or student recruitment related role, particularly within a higher education organisation. </w:t>
            </w:r>
          </w:p>
          <w:p w14:paraId="15EA70A2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organising recruitment events, particularly those that support student recruitment objectives.</w:t>
            </w:r>
          </w:p>
          <w:p w14:paraId="5DEFAA8D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implementing campaigns using digital marketing channels, including social media and email marketing.</w:t>
            </w:r>
          </w:p>
          <w:p w14:paraId="4E6EC9CD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coordinating projects of a concurrent and overlapping nature, to deadline and within budget.</w:t>
            </w:r>
          </w:p>
          <w:p w14:paraId="0B408A81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using digital channels to deliver effective advertising campaigns.</w:t>
            </w:r>
          </w:p>
          <w:p w14:paraId="460E1FD9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using content management systems to update webpages.</w:t>
            </w:r>
          </w:p>
          <w:p w14:paraId="036E6B89" w14:textId="77777777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supervising and coordinating staff.</w:t>
            </w:r>
          </w:p>
          <w:p w14:paraId="26E8AF63" w14:textId="77777777" w:rsidR="00D70D77" w:rsidRPr="00D70D77" w:rsidRDefault="00D70D77" w:rsidP="00D70D77">
            <w:pPr>
              <w:ind w:left="46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E1B5A" w:rsidRPr="007E1B5A" w14:paraId="65C674B8" w14:textId="77777777" w:rsidTr="00BB5C6A">
        <w:trPr>
          <w:trHeight w:val="809"/>
        </w:trPr>
        <w:tc>
          <w:tcPr>
            <w:tcW w:w="2240" w:type="dxa"/>
          </w:tcPr>
          <w:p w14:paraId="2CB3D22B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Communication Skills</w:t>
            </w:r>
          </w:p>
          <w:p w14:paraId="71812AE9" w14:textId="77777777" w:rsidR="00BB5C6A" w:rsidRPr="007E1B5A" w:rsidRDefault="00BB5C6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399" w:type="dxa"/>
          </w:tcPr>
          <w:p w14:paraId="1485A957" w14:textId="77777777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Communicates effectively orally, in writing and/or using visual media.</w:t>
            </w:r>
          </w:p>
          <w:p w14:paraId="03581912" w14:textId="77777777" w:rsidR="00D70D77" w:rsidRPr="00D70D77" w:rsidRDefault="00D70D77" w:rsidP="00D70D77">
            <w:pPr>
              <w:ind w:left="46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70D77" w:rsidRPr="007E1B5A" w14:paraId="473C2AF8" w14:textId="77777777" w:rsidTr="00BB5C6A">
        <w:trPr>
          <w:trHeight w:val="418"/>
        </w:trPr>
        <w:tc>
          <w:tcPr>
            <w:tcW w:w="2240" w:type="dxa"/>
          </w:tcPr>
          <w:p w14:paraId="730C3850" w14:textId="3F96F7DF" w:rsidR="00D70D77" w:rsidRPr="00D70D77" w:rsidRDefault="00D70D77" w:rsidP="00D70D77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D70D77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7399" w:type="dxa"/>
          </w:tcPr>
          <w:p w14:paraId="039B2402" w14:textId="77777777" w:rsidR="00D70D77" w:rsidRPr="00D70D77" w:rsidRDefault="00D70D77" w:rsidP="00D70D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Cs w:val="22"/>
              </w:rPr>
            </w:pPr>
            <w:r w:rsidRPr="00D70D77">
              <w:rPr>
                <w:rFonts w:ascii="Arial" w:hAnsi="Arial" w:cs="Arial"/>
                <w:color w:val="000000"/>
                <w:szCs w:val="22"/>
              </w:rPr>
              <w:t xml:space="preserve">Supervises and motivates individuals or a team effectively, setting clear objectives to manage performance </w:t>
            </w:r>
          </w:p>
          <w:p w14:paraId="36D93E6A" w14:textId="77777777" w:rsidR="00D70D77" w:rsidRPr="00D70D77" w:rsidRDefault="00D70D77" w:rsidP="00D70D77">
            <w:pPr>
              <w:pStyle w:val="ListParagraph"/>
              <w:ind w:left="329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E1B5A" w:rsidRPr="007E1B5A" w14:paraId="651FADC4" w14:textId="77777777" w:rsidTr="00BB5C6A">
        <w:tc>
          <w:tcPr>
            <w:tcW w:w="2240" w:type="dxa"/>
          </w:tcPr>
          <w:p w14:paraId="2FF23299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Planning and Managing Resources</w:t>
            </w:r>
          </w:p>
          <w:p w14:paraId="7809C331" w14:textId="77777777" w:rsidR="00D70D77" w:rsidRPr="007E1B5A" w:rsidRDefault="00D70D77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399" w:type="dxa"/>
          </w:tcPr>
          <w:p w14:paraId="29921AED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Plans, prioritises and organises work to achieve objectives on time.</w:t>
            </w:r>
          </w:p>
        </w:tc>
      </w:tr>
      <w:tr w:rsidR="007E1B5A" w:rsidRPr="007E1B5A" w14:paraId="6D20EED3" w14:textId="77777777" w:rsidTr="00BB5C6A">
        <w:trPr>
          <w:trHeight w:val="750"/>
        </w:trPr>
        <w:tc>
          <w:tcPr>
            <w:tcW w:w="2240" w:type="dxa"/>
          </w:tcPr>
          <w:p w14:paraId="0B5A36D6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Teamwork</w:t>
            </w:r>
          </w:p>
        </w:tc>
        <w:tc>
          <w:tcPr>
            <w:tcW w:w="7399" w:type="dxa"/>
          </w:tcPr>
          <w:p w14:paraId="1EF6622C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Works collaboratively in a team and where appropriate across or with different professional groups.</w:t>
            </w:r>
          </w:p>
        </w:tc>
      </w:tr>
      <w:tr w:rsidR="007E1B5A" w:rsidRPr="007E1B5A" w14:paraId="6F9DF01E" w14:textId="77777777" w:rsidTr="00BB5C6A">
        <w:tc>
          <w:tcPr>
            <w:tcW w:w="2240" w:type="dxa"/>
          </w:tcPr>
          <w:p w14:paraId="798BE2E2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Student Experience or Customer Service</w:t>
            </w:r>
          </w:p>
          <w:p w14:paraId="23770160" w14:textId="77777777" w:rsidR="00D70D77" w:rsidRPr="007E1B5A" w:rsidRDefault="00D70D77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399" w:type="dxa"/>
          </w:tcPr>
          <w:p w14:paraId="277C88EF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Provides a positive and responsive student or customer service.</w:t>
            </w:r>
          </w:p>
        </w:tc>
      </w:tr>
      <w:tr w:rsidR="007E1B5A" w:rsidRPr="007E1B5A" w14:paraId="6C8CDB50" w14:textId="77777777" w:rsidTr="00BB5C6A">
        <w:tc>
          <w:tcPr>
            <w:tcW w:w="2240" w:type="dxa"/>
          </w:tcPr>
          <w:p w14:paraId="068BE700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Creativity, Innovation and Problem Solving </w:t>
            </w:r>
          </w:p>
          <w:p w14:paraId="1911B10D" w14:textId="77777777" w:rsidR="00D70D77" w:rsidRPr="007E1B5A" w:rsidRDefault="00D70D77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399" w:type="dxa"/>
          </w:tcPr>
          <w:p w14:paraId="56C206D4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Uses initiative or creativity to resolve problems.</w:t>
            </w:r>
          </w:p>
        </w:tc>
      </w:tr>
    </w:tbl>
    <w:p w14:paraId="72C68645" w14:textId="77777777" w:rsidR="007E1B5A" w:rsidRDefault="007E1B5A">
      <w:pPr>
        <w:rPr>
          <w:rFonts w:ascii="Arial" w:hAnsi="Arial" w:cs="Arial"/>
          <w:sz w:val="20"/>
        </w:rPr>
      </w:pPr>
    </w:p>
    <w:p w14:paraId="4519E8CC" w14:textId="77777777" w:rsidR="004B7B34" w:rsidRDefault="004B7B34">
      <w:pPr>
        <w:rPr>
          <w:rFonts w:ascii="Arial" w:hAnsi="Arial" w:cs="Arial"/>
          <w:sz w:val="20"/>
        </w:rPr>
      </w:pPr>
    </w:p>
    <w:sectPr w:rsidR="004B7B34" w:rsidSect="00BB5C6A">
      <w:headerReference w:type="default" r:id="rId8"/>
      <w:pgSz w:w="11906" w:h="16838"/>
      <w:pgMar w:top="704" w:right="566" w:bottom="68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B5FB" w14:textId="77777777" w:rsidR="0010405E" w:rsidRDefault="0010405E">
      <w:r>
        <w:separator/>
      </w:r>
    </w:p>
  </w:endnote>
  <w:endnote w:type="continuationSeparator" w:id="0">
    <w:p w14:paraId="508B3613" w14:textId="77777777" w:rsidR="0010405E" w:rsidRDefault="001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3B03" w14:textId="77777777" w:rsidR="0010405E" w:rsidRDefault="0010405E">
      <w:r>
        <w:separator/>
      </w:r>
    </w:p>
  </w:footnote>
  <w:footnote w:type="continuationSeparator" w:id="0">
    <w:p w14:paraId="2E87EA8F" w14:textId="77777777" w:rsidR="0010405E" w:rsidRDefault="0010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4CAD" w14:textId="77777777" w:rsidR="00E45A92" w:rsidRPr="00576313" w:rsidRDefault="00E45A9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8694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44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6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20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8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AA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C00"/>
    <w:multiLevelType w:val="hybridMultilevel"/>
    <w:tmpl w:val="9F94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F200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F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CC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4F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2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85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588C"/>
    <w:multiLevelType w:val="hybridMultilevel"/>
    <w:tmpl w:val="0B8A1394"/>
    <w:lvl w:ilvl="0" w:tplc="C8A8785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D0E5E"/>
    <w:multiLevelType w:val="hybridMultilevel"/>
    <w:tmpl w:val="D19609CC"/>
    <w:lvl w:ilvl="0" w:tplc="C8A87850">
      <w:start w:val="20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196F"/>
    <w:multiLevelType w:val="hybridMultilevel"/>
    <w:tmpl w:val="ECCCD900"/>
    <w:lvl w:ilvl="0" w:tplc="25D6F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FAE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A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A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0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27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345CF"/>
    <w:multiLevelType w:val="hybridMultilevel"/>
    <w:tmpl w:val="AA9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F52E508"/>
    <w:lvl w:ilvl="0" w:tplc="0B3E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E6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6E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2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8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0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E27C4"/>
    <w:multiLevelType w:val="hybridMultilevel"/>
    <w:tmpl w:val="8E3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"/>
  </w:num>
  <w:num w:numId="4">
    <w:abstractNumId w:val="15"/>
  </w:num>
  <w:num w:numId="5">
    <w:abstractNumId w:val="11"/>
  </w:num>
  <w:num w:numId="6">
    <w:abstractNumId w:val="23"/>
  </w:num>
  <w:num w:numId="7">
    <w:abstractNumId w:val="13"/>
  </w:num>
  <w:num w:numId="8">
    <w:abstractNumId w:val="9"/>
  </w:num>
  <w:num w:numId="9">
    <w:abstractNumId w:val="21"/>
  </w:num>
  <w:num w:numId="10">
    <w:abstractNumId w:val="25"/>
  </w:num>
  <w:num w:numId="11">
    <w:abstractNumId w:val="14"/>
  </w:num>
  <w:num w:numId="12">
    <w:abstractNumId w:val="18"/>
  </w:num>
  <w:num w:numId="13">
    <w:abstractNumId w:val="4"/>
  </w:num>
  <w:num w:numId="14">
    <w:abstractNumId w:val="20"/>
  </w:num>
  <w:num w:numId="15">
    <w:abstractNumId w:val="19"/>
  </w:num>
  <w:num w:numId="16">
    <w:abstractNumId w:val="24"/>
  </w:num>
  <w:num w:numId="17">
    <w:abstractNumId w:val="28"/>
  </w:num>
  <w:num w:numId="18">
    <w:abstractNumId w:val="10"/>
  </w:num>
  <w:num w:numId="19">
    <w:abstractNumId w:val="1"/>
  </w:num>
  <w:num w:numId="20">
    <w:abstractNumId w:val="12"/>
  </w:num>
  <w:num w:numId="21">
    <w:abstractNumId w:val="26"/>
  </w:num>
  <w:num w:numId="22">
    <w:abstractNumId w:val="5"/>
  </w:num>
  <w:num w:numId="23">
    <w:abstractNumId w:val="3"/>
  </w:num>
  <w:num w:numId="24">
    <w:abstractNumId w:val="22"/>
  </w:num>
  <w:num w:numId="25">
    <w:abstractNumId w:val="7"/>
  </w:num>
  <w:num w:numId="26">
    <w:abstractNumId w:val="6"/>
  </w:num>
  <w:num w:numId="27">
    <w:abstractNumId w:val="16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7C47"/>
    <w:rsid w:val="000407F4"/>
    <w:rsid w:val="00042457"/>
    <w:rsid w:val="00051FEB"/>
    <w:rsid w:val="00056FFA"/>
    <w:rsid w:val="00065EBD"/>
    <w:rsid w:val="00092AEA"/>
    <w:rsid w:val="000940A9"/>
    <w:rsid w:val="000D09F2"/>
    <w:rsid w:val="000D129B"/>
    <w:rsid w:val="000E47C5"/>
    <w:rsid w:val="0010405E"/>
    <w:rsid w:val="00111869"/>
    <w:rsid w:val="00117DCA"/>
    <w:rsid w:val="00143C49"/>
    <w:rsid w:val="00182034"/>
    <w:rsid w:val="0019159A"/>
    <w:rsid w:val="001B4674"/>
    <w:rsid w:val="0020170B"/>
    <w:rsid w:val="00207F1E"/>
    <w:rsid w:val="002325E0"/>
    <w:rsid w:val="002351FE"/>
    <w:rsid w:val="00256F2F"/>
    <w:rsid w:val="002A6103"/>
    <w:rsid w:val="002B48DF"/>
    <w:rsid w:val="002B7662"/>
    <w:rsid w:val="002C280E"/>
    <w:rsid w:val="002C793B"/>
    <w:rsid w:val="002D574D"/>
    <w:rsid w:val="002E5ABD"/>
    <w:rsid w:val="00317BFE"/>
    <w:rsid w:val="003210C5"/>
    <w:rsid w:val="0032516F"/>
    <w:rsid w:val="003309DF"/>
    <w:rsid w:val="003807E7"/>
    <w:rsid w:val="003859D6"/>
    <w:rsid w:val="003B2633"/>
    <w:rsid w:val="003C2E1D"/>
    <w:rsid w:val="003C47B6"/>
    <w:rsid w:val="003D14F7"/>
    <w:rsid w:val="003D1C6D"/>
    <w:rsid w:val="003D2E0C"/>
    <w:rsid w:val="003E6F4C"/>
    <w:rsid w:val="004039A6"/>
    <w:rsid w:val="00461E60"/>
    <w:rsid w:val="00471FF6"/>
    <w:rsid w:val="004731C5"/>
    <w:rsid w:val="004816C6"/>
    <w:rsid w:val="004879C9"/>
    <w:rsid w:val="004B7B34"/>
    <w:rsid w:val="004C3B59"/>
    <w:rsid w:val="004E3268"/>
    <w:rsid w:val="004F79F9"/>
    <w:rsid w:val="00521299"/>
    <w:rsid w:val="00533528"/>
    <w:rsid w:val="00536A8E"/>
    <w:rsid w:val="00562659"/>
    <w:rsid w:val="00572E64"/>
    <w:rsid w:val="00576313"/>
    <w:rsid w:val="005765A7"/>
    <w:rsid w:val="00594C01"/>
    <w:rsid w:val="005B186A"/>
    <w:rsid w:val="005C33ED"/>
    <w:rsid w:val="005E7B39"/>
    <w:rsid w:val="005F772D"/>
    <w:rsid w:val="006324CD"/>
    <w:rsid w:val="00633141"/>
    <w:rsid w:val="00635CC0"/>
    <w:rsid w:val="006952FA"/>
    <w:rsid w:val="006B53B1"/>
    <w:rsid w:val="006C52F5"/>
    <w:rsid w:val="006E5BEA"/>
    <w:rsid w:val="00726295"/>
    <w:rsid w:val="007315B3"/>
    <w:rsid w:val="00767C89"/>
    <w:rsid w:val="007858C1"/>
    <w:rsid w:val="007A5529"/>
    <w:rsid w:val="007D6F49"/>
    <w:rsid w:val="007E1A3C"/>
    <w:rsid w:val="007E1B5A"/>
    <w:rsid w:val="007F3339"/>
    <w:rsid w:val="00860F63"/>
    <w:rsid w:val="00864E7B"/>
    <w:rsid w:val="00881483"/>
    <w:rsid w:val="008D390B"/>
    <w:rsid w:val="008D427D"/>
    <w:rsid w:val="008F5B72"/>
    <w:rsid w:val="008F6039"/>
    <w:rsid w:val="00906DBB"/>
    <w:rsid w:val="009357D5"/>
    <w:rsid w:val="009438D6"/>
    <w:rsid w:val="00946718"/>
    <w:rsid w:val="00974651"/>
    <w:rsid w:val="0097624E"/>
    <w:rsid w:val="009853B2"/>
    <w:rsid w:val="00997DB7"/>
    <w:rsid w:val="009B50E3"/>
    <w:rsid w:val="009D1668"/>
    <w:rsid w:val="009F62FB"/>
    <w:rsid w:val="00A15DD8"/>
    <w:rsid w:val="00A33E98"/>
    <w:rsid w:val="00A514C8"/>
    <w:rsid w:val="00A54321"/>
    <w:rsid w:val="00A574EF"/>
    <w:rsid w:val="00A704B4"/>
    <w:rsid w:val="00A93F1F"/>
    <w:rsid w:val="00AA457E"/>
    <w:rsid w:val="00AB73F6"/>
    <w:rsid w:val="00AB7A91"/>
    <w:rsid w:val="00AF2609"/>
    <w:rsid w:val="00AF6C2A"/>
    <w:rsid w:val="00B4142B"/>
    <w:rsid w:val="00B67FB4"/>
    <w:rsid w:val="00B702E1"/>
    <w:rsid w:val="00B72307"/>
    <w:rsid w:val="00B87020"/>
    <w:rsid w:val="00B87E25"/>
    <w:rsid w:val="00B93007"/>
    <w:rsid w:val="00BB5C6A"/>
    <w:rsid w:val="00BC5A57"/>
    <w:rsid w:val="00BC623B"/>
    <w:rsid w:val="00BD6F09"/>
    <w:rsid w:val="00C6308D"/>
    <w:rsid w:val="00C833FC"/>
    <w:rsid w:val="00C85F60"/>
    <w:rsid w:val="00CA73F2"/>
    <w:rsid w:val="00CB3FC1"/>
    <w:rsid w:val="00CC0E09"/>
    <w:rsid w:val="00CC361D"/>
    <w:rsid w:val="00CD489E"/>
    <w:rsid w:val="00D1149C"/>
    <w:rsid w:val="00D14CD1"/>
    <w:rsid w:val="00D65F90"/>
    <w:rsid w:val="00D70D77"/>
    <w:rsid w:val="00D778AC"/>
    <w:rsid w:val="00D87564"/>
    <w:rsid w:val="00DA3115"/>
    <w:rsid w:val="00DA746B"/>
    <w:rsid w:val="00DB6F06"/>
    <w:rsid w:val="00DE6256"/>
    <w:rsid w:val="00E22A89"/>
    <w:rsid w:val="00E40D53"/>
    <w:rsid w:val="00E45A92"/>
    <w:rsid w:val="00E47A3E"/>
    <w:rsid w:val="00E81609"/>
    <w:rsid w:val="00E94193"/>
    <w:rsid w:val="00EA0F36"/>
    <w:rsid w:val="00EC7987"/>
    <w:rsid w:val="00EE4B69"/>
    <w:rsid w:val="00EF4A9E"/>
    <w:rsid w:val="00F37226"/>
    <w:rsid w:val="00F416FE"/>
    <w:rsid w:val="00F419E5"/>
    <w:rsid w:val="00FC7A26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3D80B"/>
  <w15:docId w15:val="{CBDF156D-0BEE-4067-8F09-FB4D873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7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427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D427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427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D427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27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8D427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8D427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8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D427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8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8D427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table" w:styleId="TableGrid">
    <w:name w:val="Table Grid"/>
    <w:basedOn w:val="TableNormal"/>
    <w:uiPriority w:val="59"/>
    <w:rsid w:val="004B7B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B3FC1"/>
    <w:rPr>
      <w:rFonts w:ascii="Calibri" w:eastAsiaTheme="minorHAnsi" w:hAnsi="Calibri"/>
      <w:color w:val="7F0D00"/>
      <w:sz w:val="17"/>
      <w:szCs w:val="17"/>
      <w:lang w:val="en-US"/>
    </w:rPr>
  </w:style>
  <w:style w:type="character" w:customStyle="1" w:styleId="s1">
    <w:name w:val="s1"/>
    <w:basedOn w:val="DefaultParagraphFont"/>
    <w:rsid w:val="00CB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Michelle Telesford</cp:lastModifiedBy>
  <cp:revision>2</cp:revision>
  <cp:lastPrinted>2016-09-05T09:33:00Z</cp:lastPrinted>
  <dcterms:created xsi:type="dcterms:W3CDTF">2019-08-28T13:41:00Z</dcterms:created>
  <dcterms:modified xsi:type="dcterms:W3CDTF">2019-08-28T13:41:00Z</dcterms:modified>
</cp:coreProperties>
</file>