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05F2D" w14:textId="77777777" w:rsidR="00594C01" w:rsidRPr="00C007C8" w:rsidRDefault="00594C01" w:rsidP="00C007C8"/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815AAD" w14:paraId="109BC392" w14:textId="77777777" w:rsidTr="54371EB5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0F001113" w14:textId="77777777" w:rsidR="00DE696E" w:rsidRPr="003D3432" w:rsidRDefault="00DE696E" w:rsidP="001F575A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0C0840" w14:paraId="511F1812" w14:textId="77777777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2AA7E52" w14:textId="7669D842" w:rsidR="003D3432" w:rsidRPr="003D3432" w:rsidRDefault="00DE696E" w:rsidP="00921AEB">
            <w:pPr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Job title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DA1AA8">
              <w:rPr>
                <w:rFonts w:cs="Arial"/>
                <w:szCs w:val="22"/>
              </w:rPr>
              <w:t xml:space="preserve"> </w:t>
            </w:r>
            <w:r w:rsidR="00921AEB">
              <w:rPr>
                <w:rFonts w:ascii="Arial" w:hAnsi="Arial" w:cs="Arial"/>
                <w:szCs w:val="22"/>
              </w:rPr>
              <w:t>Senior Payroll Administrator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BCF82B" w14:textId="42FC623C" w:rsidR="00450075" w:rsidRPr="00706583" w:rsidRDefault="00DE696E" w:rsidP="00450075">
            <w:pPr>
              <w:rPr>
                <w:rFonts w:ascii="Arial" w:hAnsi="Arial"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Accountable to</w:t>
            </w:r>
            <w:r w:rsidRPr="003D3432">
              <w:rPr>
                <w:rFonts w:cs="Arial"/>
                <w:szCs w:val="22"/>
              </w:rPr>
              <w:t>:</w:t>
            </w:r>
            <w:r w:rsidR="00450075" w:rsidRPr="00706583">
              <w:rPr>
                <w:rFonts w:ascii="Arial" w:hAnsi="Arial" w:cs="Arial"/>
                <w:szCs w:val="22"/>
              </w:rPr>
              <w:t xml:space="preserve"> </w:t>
            </w:r>
            <w:r w:rsidR="00EE6371">
              <w:rPr>
                <w:rFonts w:ascii="Arial" w:hAnsi="Arial" w:cs="Arial"/>
                <w:szCs w:val="22"/>
              </w:rPr>
              <w:t>Payroll</w:t>
            </w:r>
            <w:r w:rsidR="00450075" w:rsidRPr="00706583">
              <w:rPr>
                <w:rFonts w:ascii="Arial" w:hAnsi="Arial" w:cs="Arial"/>
                <w:szCs w:val="22"/>
              </w:rPr>
              <w:t xml:space="preserve"> Manager</w:t>
            </w:r>
          </w:p>
          <w:p w14:paraId="69893E12" w14:textId="77777777" w:rsidR="00DE696E" w:rsidRPr="00687B6D" w:rsidRDefault="00687B6D" w:rsidP="004028FF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DE696E" w:rsidRPr="000C0840" w14:paraId="677746EE" w14:textId="77777777" w:rsidTr="00DA1AA8">
        <w:trPr>
          <w:trHeight w:val="564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B5B15" w14:textId="3D70157F" w:rsidR="00DE696E" w:rsidRPr="003D3432" w:rsidRDefault="00DE696E" w:rsidP="00EE6371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Contract length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EE6371">
              <w:rPr>
                <w:rFonts w:ascii="Arial" w:hAnsi="Arial" w:cs="Arial"/>
                <w:szCs w:val="22"/>
              </w:rPr>
              <w:t>Permanent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1207B9" w14:textId="77777777" w:rsidR="00DE696E" w:rsidRPr="003D3432" w:rsidRDefault="00DE696E" w:rsidP="001C6D2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Hours per week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CD67A8">
              <w:rPr>
                <w:rFonts w:cs="Arial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5EBF2EE7" w14:textId="77777777" w:rsidR="00DE696E" w:rsidRPr="003D3432" w:rsidRDefault="00DE696E" w:rsidP="001F575A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Weeks per year</w:t>
            </w:r>
            <w:r w:rsidRPr="003D3432">
              <w:rPr>
                <w:rFonts w:cs="Arial"/>
                <w:szCs w:val="22"/>
              </w:rPr>
              <w:t>:</w:t>
            </w:r>
            <w:r w:rsidRPr="003D3432">
              <w:rPr>
                <w:rFonts w:cs="Arial"/>
                <w:b/>
                <w:szCs w:val="22"/>
              </w:rPr>
              <w:t xml:space="preserve"> </w:t>
            </w:r>
            <w:r w:rsidRPr="003D3432">
              <w:rPr>
                <w:rFonts w:cs="Arial"/>
                <w:szCs w:val="22"/>
              </w:rPr>
              <w:t>52</w:t>
            </w:r>
          </w:p>
        </w:tc>
      </w:tr>
      <w:tr w:rsidR="00DE696E" w:rsidRPr="000C0840" w14:paraId="1A4FF485" w14:textId="77777777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911B1" w14:textId="432AA4A5" w:rsidR="00DE696E" w:rsidRPr="003D3432" w:rsidRDefault="00DE696E" w:rsidP="00C66F0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Salary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8D48C9" w:rsidRPr="008D48C9">
              <w:rPr>
                <w:sz w:val="20"/>
              </w:rPr>
              <w:t>£34,943.00 - £42,914.00 per annum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58AF75" w14:textId="32A4D260" w:rsidR="00DE696E" w:rsidRPr="003D3432" w:rsidRDefault="00DE696E" w:rsidP="00C66F0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Grade</w:t>
            </w:r>
            <w:r w:rsidRPr="003D3432">
              <w:rPr>
                <w:rFonts w:cs="Arial"/>
                <w:szCs w:val="22"/>
              </w:rPr>
              <w:t xml:space="preserve">:  </w:t>
            </w:r>
            <w:r w:rsidR="00C66F02">
              <w:rPr>
                <w:rFonts w:cs="Arial"/>
                <w:szCs w:val="22"/>
              </w:rPr>
              <w:t>4</w:t>
            </w:r>
          </w:p>
        </w:tc>
      </w:tr>
      <w:tr w:rsidR="00DE696E" w:rsidRPr="000C0840" w14:paraId="04AA5418" w14:textId="77777777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646411" w14:textId="77777777" w:rsidR="00DE696E" w:rsidRPr="003D3432" w:rsidRDefault="00DE696E" w:rsidP="00DA1AA8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bCs/>
                <w:szCs w:val="22"/>
              </w:rPr>
              <w:t>Service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DA1AA8">
              <w:rPr>
                <w:rFonts w:cs="Arial"/>
                <w:szCs w:val="22"/>
              </w:rPr>
              <w:t xml:space="preserve">Human Resources 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5F9A2C" w14:textId="77777777"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Location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CD67A8" w:rsidRPr="005D7A28">
              <w:rPr>
                <w:rFonts w:ascii="Calibri" w:hAnsi="Calibri"/>
              </w:rPr>
              <w:t>272 High Holborn, WC1V 7EY</w:t>
            </w:r>
          </w:p>
        </w:tc>
      </w:tr>
      <w:tr w:rsidR="003D3432" w:rsidRPr="00C007C8" w14:paraId="3989079F" w14:textId="77777777" w:rsidTr="000C0840">
        <w:tc>
          <w:tcPr>
            <w:tcW w:w="9214" w:type="dxa"/>
            <w:gridSpan w:val="3"/>
          </w:tcPr>
          <w:p w14:paraId="1568C27C" w14:textId="5A7F57E8" w:rsidR="00DA1AA8" w:rsidRDefault="006031D0" w:rsidP="00DA1AA8">
            <w:pPr>
              <w:pStyle w:val="TableParagraph"/>
              <w:spacing w:before="121"/>
              <w:ind w:left="0"/>
              <w:rPr>
                <w:b/>
              </w:rPr>
            </w:pPr>
            <w:r>
              <w:rPr>
                <w:b/>
              </w:rPr>
              <w:t>Where will this role sit within HR?</w:t>
            </w:r>
          </w:p>
          <w:p w14:paraId="625C56DD" w14:textId="669DB345" w:rsidR="00A95989" w:rsidRPr="00A95989" w:rsidRDefault="00A95989" w:rsidP="00DA1AA8">
            <w:pPr>
              <w:pStyle w:val="TableParagraph"/>
              <w:spacing w:before="121"/>
              <w:ind w:left="0"/>
            </w:pPr>
            <w:r>
              <w:t>This role reports directly to the Payroll Manager and is a key role within the University’s Payroll Team</w:t>
            </w:r>
            <w:r w:rsidR="00FB0A73">
              <w:t>.</w:t>
            </w:r>
          </w:p>
          <w:p w14:paraId="01CD3C25" w14:textId="77777777" w:rsidR="00624AA9" w:rsidRPr="003D3432" w:rsidRDefault="00624AA9" w:rsidP="00EE6371">
            <w:pPr>
              <w:pStyle w:val="TableParagraph"/>
              <w:spacing w:before="121"/>
              <w:ind w:left="0"/>
            </w:pPr>
          </w:p>
        </w:tc>
      </w:tr>
      <w:tr w:rsidR="00594C01" w:rsidRPr="00C007C8" w14:paraId="41CD2106" w14:textId="77777777" w:rsidTr="000C0840">
        <w:tc>
          <w:tcPr>
            <w:tcW w:w="9214" w:type="dxa"/>
            <w:gridSpan w:val="3"/>
          </w:tcPr>
          <w:p w14:paraId="58F630BC" w14:textId="19664138" w:rsidR="00594C01" w:rsidRDefault="003D3432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What is the purpose of the role?</w:t>
            </w:r>
          </w:p>
          <w:p w14:paraId="02E0C71B" w14:textId="7ACB5872" w:rsidR="00EE6371" w:rsidRPr="00EE6371" w:rsidRDefault="00EE6371" w:rsidP="000B4B43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EE6371">
              <w:rPr>
                <w:rFonts w:ascii="Arial" w:hAnsi="Arial" w:cs="Arial"/>
                <w:szCs w:val="22"/>
              </w:rPr>
              <w:t xml:space="preserve">To provide a comprehensive payroll service to all staff of the </w:t>
            </w:r>
            <w:r w:rsidR="00721F37" w:rsidRPr="00EE6371">
              <w:rPr>
                <w:rFonts w:ascii="Arial" w:hAnsi="Arial" w:cs="Arial"/>
                <w:szCs w:val="22"/>
              </w:rPr>
              <w:t>University</w:t>
            </w:r>
            <w:r w:rsidR="00721F37">
              <w:rPr>
                <w:rFonts w:ascii="Arial" w:hAnsi="Arial" w:cs="Arial"/>
                <w:szCs w:val="22"/>
              </w:rPr>
              <w:t xml:space="preserve">. </w:t>
            </w:r>
            <w:r w:rsidR="00721F37" w:rsidRPr="00EE6371">
              <w:rPr>
                <w:rFonts w:ascii="Arial" w:hAnsi="Arial" w:cs="Arial"/>
                <w:szCs w:val="22"/>
              </w:rPr>
              <w:t>To</w:t>
            </w:r>
            <w:r w:rsidRPr="00EE6371">
              <w:rPr>
                <w:rFonts w:ascii="Arial" w:hAnsi="Arial" w:cs="Arial"/>
                <w:szCs w:val="22"/>
              </w:rPr>
              <w:t xml:space="preserve"> supervise and direct the work of the Payroll Administrators</w:t>
            </w:r>
            <w:r w:rsidR="00A95989">
              <w:rPr>
                <w:rFonts w:ascii="Arial" w:hAnsi="Arial" w:cs="Arial"/>
                <w:szCs w:val="22"/>
              </w:rPr>
              <w:t xml:space="preserve"> and to support the Payroll Manager as required in all aspects of Payroll production </w:t>
            </w:r>
            <w:r w:rsidR="00FB0A73">
              <w:rPr>
                <w:rFonts w:ascii="Arial" w:hAnsi="Arial" w:cs="Arial"/>
                <w:szCs w:val="22"/>
              </w:rPr>
              <w:t xml:space="preserve">and Payroll administration </w:t>
            </w:r>
            <w:r w:rsidR="00A95989">
              <w:rPr>
                <w:rFonts w:ascii="Arial" w:hAnsi="Arial" w:cs="Arial"/>
                <w:szCs w:val="22"/>
              </w:rPr>
              <w:t>process</w:t>
            </w:r>
            <w:r w:rsidR="00FB0A73">
              <w:rPr>
                <w:rFonts w:ascii="Arial" w:hAnsi="Arial" w:cs="Arial"/>
                <w:szCs w:val="22"/>
              </w:rPr>
              <w:t>es.</w:t>
            </w:r>
          </w:p>
          <w:p w14:paraId="48E9862C" w14:textId="77777777" w:rsidR="001C6D22" w:rsidRPr="00CD67A8" w:rsidRDefault="001C6D22" w:rsidP="00EE6371">
            <w:pPr>
              <w:pStyle w:val="NoSpacing"/>
              <w:rPr>
                <w:rFonts w:ascii="Calibri" w:hAnsi="Calibri"/>
              </w:rPr>
            </w:pPr>
          </w:p>
        </w:tc>
      </w:tr>
      <w:tr w:rsidR="00594C01" w:rsidRPr="00C007C8" w14:paraId="71130509" w14:textId="77777777" w:rsidTr="000C0840">
        <w:tc>
          <w:tcPr>
            <w:tcW w:w="9214" w:type="dxa"/>
            <w:gridSpan w:val="3"/>
          </w:tcPr>
          <w:p w14:paraId="7578B141" w14:textId="4AA0E060" w:rsidR="00594C01" w:rsidRDefault="00DA1AA8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Specialist </w:t>
            </w:r>
            <w:r w:rsidR="00594C01" w:rsidRPr="003D3432">
              <w:rPr>
                <w:b/>
              </w:rPr>
              <w:t>Duties and Responsibilities</w:t>
            </w:r>
          </w:p>
          <w:p w14:paraId="1F083EA4" w14:textId="77777777" w:rsidR="00EE6371" w:rsidRPr="00EE6371" w:rsidRDefault="00EE6371" w:rsidP="00EE6371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EE6371">
              <w:rPr>
                <w:rFonts w:ascii="Arial" w:hAnsi="Arial" w:cs="Arial"/>
                <w:szCs w:val="22"/>
              </w:rPr>
              <w:t>To deliver the operational services on a day to day basis to achieve the delivery of a high quality, professional, accurate and timely payroll service.</w:t>
            </w:r>
          </w:p>
          <w:p w14:paraId="3944F703" w14:textId="445E0139" w:rsidR="00EE6371" w:rsidRPr="00EE6371" w:rsidRDefault="00EE6371" w:rsidP="00EE6371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EE6371">
              <w:rPr>
                <w:rFonts w:ascii="Arial" w:hAnsi="Arial" w:cs="Arial"/>
                <w:szCs w:val="22"/>
              </w:rPr>
              <w:t>To interpret and implement within UAL</w:t>
            </w:r>
            <w:r w:rsidR="00FB0A73">
              <w:rPr>
                <w:rFonts w:ascii="Arial" w:hAnsi="Arial" w:cs="Arial"/>
                <w:szCs w:val="22"/>
              </w:rPr>
              <w:t>,</w:t>
            </w:r>
            <w:r w:rsidRPr="00EE6371">
              <w:rPr>
                <w:rFonts w:ascii="Arial" w:hAnsi="Arial" w:cs="Arial"/>
                <w:szCs w:val="22"/>
              </w:rPr>
              <w:t xml:space="preserve"> changes to payroll regulations as they occur and in turn advise managers of the financial and operational impact of changes.</w:t>
            </w:r>
          </w:p>
          <w:p w14:paraId="02F58099" w14:textId="69D2E0EC" w:rsidR="00EE6371" w:rsidRDefault="00EE6371" w:rsidP="00EE6371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EE6371">
              <w:rPr>
                <w:rFonts w:ascii="Arial" w:hAnsi="Arial" w:cs="Arial"/>
                <w:szCs w:val="22"/>
              </w:rPr>
              <w:t xml:space="preserve">To supervise the </w:t>
            </w:r>
            <w:r w:rsidR="00773448">
              <w:rPr>
                <w:rFonts w:ascii="Arial" w:hAnsi="Arial" w:cs="Arial"/>
                <w:szCs w:val="22"/>
              </w:rPr>
              <w:t xml:space="preserve">work of the </w:t>
            </w:r>
            <w:r w:rsidRPr="00EE6371">
              <w:rPr>
                <w:rFonts w:ascii="Arial" w:hAnsi="Arial" w:cs="Arial"/>
                <w:szCs w:val="22"/>
              </w:rPr>
              <w:t xml:space="preserve">Payroll Administrators, direct them in their duties and help them resolve issues. </w:t>
            </w:r>
          </w:p>
          <w:p w14:paraId="7022EEEA" w14:textId="5CBF7134" w:rsidR="00773448" w:rsidRPr="00EE6371" w:rsidRDefault="00773448" w:rsidP="00EE6371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To oversee the first line support function to ensure queries are resolved in a timely fashion and to escalate issues as appropriate to the </w:t>
            </w:r>
            <w:r w:rsidR="00FB0A73">
              <w:rPr>
                <w:rFonts w:ascii="Arial" w:hAnsi="Arial" w:cs="Arial"/>
                <w:szCs w:val="22"/>
              </w:rPr>
              <w:t>Payroll Manager.</w:t>
            </w:r>
          </w:p>
          <w:p w14:paraId="1F53240F" w14:textId="5F3224D5" w:rsidR="00EE6371" w:rsidRPr="00EE6371" w:rsidRDefault="00EE6371" w:rsidP="00EE6371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EE6371">
              <w:rPr>
                <w:rFonts w:ascii="Arial" w:hAnsi="Arial" w:cs="Arial"/>
                <w:szCs w:val="22"/>
              </w:rPr>
              <w:t xml:space="preserve">To ensure that all payroll </w:t>
            </w:r>
            <w:r w:rsidR="00FB0A73">
              <w:rPr>
                <w:rFonts w:ascii="Arial" w:hAnsi="Arial" w:cs="Arial"/>
                <w:szCs w:val="22"/>
              </w:rPr>
              <w:t xml:space="preserve">production and payroll administration </w:t>
            </w:r>
            <w:r w:rsidRPr="00EE6371">
              <w:rPr>
                <w:rFonts w:ascii="Arial" w:hAnsi="Arial" w:cs="Arial"/>
                <w:szCs w:val="22"/>
              </w:rPr>
              <w:t xml:space="preserve">processes are </w:t>
            </w:r>
            <w:r w:rsidR="00A95989">
              <w:rPr>
                <w:rFonts w:ascii="Arial" w:hAnsi="Arial" w:cs="Arial"/>
                <w:szCs w:val="22"/>
              </w:rPr>
              <w:t xml:space="preserve">adhered to and </w:t>
            </w:r>
            <w:r w:rsidRPr="00EE6371">
              <w:rPr>
                <w:rFonts w:ascii="Arial" w:hAnsi="Arial" w:cs="Arial"/>
                <w:szCs w:val="22"/>
              </w:rPr>
              <w:t>properly documented.</w:t>
            </w:r>
          </w:p>
          <w:p w14:paraId="7DB33747" w14:textId="317E755C" w:rsidR="00EE6371" w:rsidRPr="00EE6371" w:rsidRDefault="00EE6371" w:rsidP="00EE6371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EE6371">
              <w:rPr>
                <w:rFonts w:ascii="Arial" w:hAnsi="Arial" w:cs="Arial"/>
                <w:szCs w:val="22"/>
              </w:rPr>
              <w:t>To deputise in the absence of the Payroll Manager</w:t>
            </w:r>
            <w:r w:rsidR="00773448">
              <w:rPr>
                <w:rFonts w:ascii="Arial" w:hAnsi="Arial" w:cs="Arial"/>
                <w:szCs w:val="22"/>
              </w:rPr>
              <w:t xml:space="preserve"> ensuring continued high quality service provision</w:t>
            </w:r>
            <w:r w:rsidRPr="00EE6371">
              <w:rPr>
                <w:rFonts w:ascii="Arial" w:hAnsi="Arial" w:cs="Arial"/>
                <w:szCs w:val="22"/>
              </w:rPr>
              <w:t>.</w:t>
            </w:r>
          </w:p>
          <w:p w14:paraId="7E71F835" w14:textId="4FF6AF73" w:rsidR="00EE6371" w:rsidRPr="00EE6371" w:rsidRDefault="00EE6371" w:rsidP="00EE6371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EE6371">
              <w:rPr>
                <w:rFonts w:ascii="Arial" w:hAnsi="Arial" w:cs="Arial"/>
                <w:szCs w:val="22"/>
              </w:rPr>
              <w:t>To maintain an up to date knowledge of payroll regulations aff</w:t>
            </w:r>
            <w:r w:rsidR="00773448">
              <w:rPr>
                <w:rFonts w:ascii="Arial" w:hAnsi="Arial" w:cs="Arial"/>
                <w:szCs w:val="22"/>
              </w:rPr>
              <w:t>ecting the University employees and to ensure this is shared appropriately with the Payroll Administrators.</w:t>
            </w:r>
          </w:p>
          <w:p w14:paraId="02FF2937" w14:textId="77777777" w:rsidR="00EE6371" w:rsidRPr="00EE6371" w:rsidRDefault="00EE6371" w:rsidP="00EE6371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EE6371">
              <w:rPr>
                <w:rFonts w:ascii="Arial" w:hAnsi="Arial" w:cs="Arial"/>
                <w:szCs w:val="22"/>
              </w:rPr>
              <w:t>To ensure that University policies and procedures in relation to all payroll matters are complied with, and ensure that all audit requirements are maintained.</w:t>
            </w:r>
          </w:p>
          <w:p w14:paraId="60051936" w14:textId="6D44FAD1" w:rsidR="00EE6371" w:rsidRDefault="00EE6371" w:rsidP="00EE6371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EE6371">
              <w:rPr>
                <w:rFonts w:ascii="Arial" w:hAnsi="Arial" w:cs="Arial"/>
                <w:szCs w:val="22"/>
              </w:rPr>
              <w:t>To develop the internal procedures for payroll matters to increase the efficiency and effectiveness of the department and develop service standards that will enhance the payroll service provided.</w:t>
            </w:r>
          </w:p>
          <w:p w14:paraId="0A570590" w14:textId="77777777" w:rsidR="00A95989" w:rsidRPr="00EE6371" w:rsidRDefault="00A95989" w:rsidP="00EE6371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  <w:p w14:paraId="7A97EDAD" w14:textId="77777777" w:rsidR="00DE696E" w:rsidRPr="003D3432" w:rsidRDefault="00926944" w:rsidP="00231193">
            <w:pPr>
              <w:spacing w:after="120"/>
              <w:rPr>
                <w:b/>
              </w:rPr>
            </w:pPr>
            <w:r>
              <w:rPr>
                <w:b/>
              </w:rPr>
              <w:t>General</w:t>
            </w:r>
          </w:p>
          <w:p w14:paraId="3185F26C" w14:textId="6EE9E801" w:rsidR="00CB05B1" w:rsidRDefault="00CB05B1" w:rsidP="00CB05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05B1">
              <w:rPr>
                <w:rFonts w:ascii="Arial" w:hAnsi="Arial" w:cs="Arial"/>
              </w:rPr>
              <w:t xml:space="preserve">Assume other reasonable duties consistent with your role, as determined by the </w:t>
            </w:r>
            <w:r w:rsidR="00EE6371">
              <w:rPr>
                <w:rFonts w:ascii="Arial" w:hAnsi="Arial" w:cs="Arial"/>
                <w:szCs w:val="22"/>
              </w:rPr>
              <w:t>Payroll</w:t>
            </w:r>
            <w:r w:rsidR="002A1A2A" w:rsidRPr="002A1A2A">
              <w:rPr>
                <w:rFonts w:ascii="Arial" w:hAnsi="Arial" w:cs="Arial"/>
                <w:szCs w:val="22"/>
              </w:rPr>
              <w:t xml:space="preserve"> Manager</w:t>
            </w:r>
            <w:r w:rsidRPr="00CB05B1">
              <w:rPr>
                <w:rFonts w:ascii="Arial" w:hAnsi="Arial" w:cs="Arial"/>
              </w:rPr>
              <w:t>, which may be assigned to you anywhere within UAL</w:t>
            </w:r>
          </w:p>
          <w:p w14:paraId="7AB1D459" w14:textId="77777777" w:rsidR="00CB05B1" w:rsidRPr="00CB05B1" w:rsidRDefault="00CB05B1" w:rsidP="00CB05B1">
            <w:pPr>
              <w:rPr>
                <w:rFonts w:ascii="Arial" w:hAnsi="Arial" w:cs="Arial"/>
              </w:rPr>
            </w:pPr>
          </w:p>
          <w:p w14:paraId="132C669A" w14:textId="77777777" w:rsidR="00CB05B1" w:rsidRDefault="00CB05B1" w:rsidP="00CB05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05B1">
              <w:rPr>
                <w:rFonts w:ascii="Arial" w:hAnsi="Arial" w:cs="Arial"/>
              </w:rPr>
              <w:t>Undertake health and safety duties and responsibilities appropriate to the role.</w:t>
            </w:r>
          </w:p>
          <w:p w14:paraId="2968D69F" w14:textId="77777777" w:rsidR="00CB05B1" w:rsidRPr="00CB05B1" w:rsidRDefault="00CB05B1" w:rsidP="00CB05B1">
            <w:pPr>
              <w:pStyle w:val="ListParagraph"/>
              <w:rPr>
                <w:rFonts w:ascii="Arial" w:hAnsi="Arial" w:cs="Arial"/>
              </w:rPr>
            </w:pPr>
          </w:p>
          <w:p w14:paraId="09EFC61A" w14:textId="6B7E4B3A" w:rsidR="008D48C9" w:rsidRPr="008D48C9" w:rsidRDefault="008D48C9" w:rsidP="008D48C9">
            <w:pPr>
              <w:numPr>
                <w:ilvl w:val="0"/>
                <w:numId w:val="10"/>
              </w:numPr>
              <w:rPr>
                <w:rFonts w:ascii="Arial" w:hAnsi="Arial" w:cs="Arial"/>
                <w:szCs w:val="22"/>
              </w:rPr>
            </w:pPr>
            <w:r w:rsidRPr="008D48C9">
              <w:rPr>
                <w:rFonts w:ascii="Arial" w:hAnsi="Arial" w:cs="Arial"/>
                <w:bCs/>
                <w:szCs w:val="22"/>
              </w:rPr>
              <w:t>W</w:t>
            </w:r>
            <w:r w:rsidRPr="008D48C9">
              <w:rPr>
                <w:rFonts w:ascii="Arial" w:hAnsi="Arial" w:cs="Arial"/>
                <w:bCs/>
                <w:szCs w:val="22"/>
              </w:rPr>
              <w:t>ork in accordance with the University’s Staff Charter and Dignity at Work Policy, promoting equality diversity and inclusion in your work.</w:t>
            </w:r>
          </w:p>
          <w:p w14:paraId="7AAF78EB" w14:textId="77777777" w:rsidR="00CB05B1" w:rsidRPr="00CB05B1" w:rsidRDefault="00CB05B1" w:rsidP="00CB05B1">
            <w:pPr>
              <w:pStyle w:val="ListParagraph"/>
              <w:rPr>
                <w:rFonts w:ascii="Arial" w:hAnsi="Arial" w:cs="Arial"/>
              </w:rPr>
            </w:pPr>
          </w:p>
          <w:p w14:paraId="38BEC9F4" w14:textId="77777777" w:rsidR="00CB05B1" w:rsidRDefault="00CB05B1" w:rsidP="00CB05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05B1">
              <w:rPr>
                <w:rFonts w:ascii="Arial" w:hAnsi="Arial" w:cs="Arial"/>
              </w:rPr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0A5675C7" w14:textId="77777777" w:rsidR="00CB05B1" w:rsidRPr="00CB05B1" w:rsidRDefault="00CB05B1" w:rsidP="00CB05B1">
            <w:pPr>
              <w:rPr>
                <w:rFonts w:ascii="Arial" w:hAnsi="Arial" w:cs="Arial"/>
              </w:rPr>
            </w:pPr>
          </w:p>
          <w:p w14:paraId="31F1087E" w14:textId="77777777" w:rsidR="00CB05B1" w:rsidRDefault="00CB05B1" w:rsidP="00CB05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05B1">
              <w:rPr>
                <w:rFonts w:ascii="Arial" w:hAnsi="Arial" w:cs="Arial"/>
              </w:rPr>
              <w:t>Make full use of all information and communication technologies in adherence to data protection policies to meet the requirements of the role and to promote organisational effectiveness.</w:t>
            </w:r>
          </w:p>
          <w:p w14:paraId="06DFA244" w14:textId="77777777" w:rsidR="00CB05B1" w:rsidRPr="00CB05B1" w:rsidRDefault="00CB05B1" w:rsidP="00CB05B1">
            <w:pPr>
              <w:pStyle w:val="ListParagraph"/>
              <w:rPr>
                <w:rFonts w:ascii="Arial" w:hAnsi="Arial" w:cs="Arial"/>
              </w:rPr>
            </w:pPr>
          </w:p>
          <w:p w14:paraId="4C60D209" w14:textId="77777777" w:rsidR="00CB05B1" w:rsidRDefault="00CB05B1" w:rsidP="00CB05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05B1">
              <w:rPr>
                <w:rFonts w:ascii="Arial" w:hAnsi="Arial" w:cs="Arial"/>
              </w:rPr>
              <w:t>Conduct all financial matters associated with the role accordance to the University’s policies and procedures, as laid down in the Financial Regulations.</w:t>
            </w:r>
          </w:p>
          <w:p w14:paraId="39667A1D" w14:textId="77777777" w:rsidR="00CB05B1" w:rsidRPr="00CB05B1" w:rsidRDefault="00CB05B1" w:rsidP="00CB05B1">
            <w:pPr>
              <w:rPr>
                <w:rFonts w:ascii="Arial" w:hAnsi="Arial" w:cs="Arial"/>
              </w:rPr>
            </w:pPr>
          </w:p>
          <w:p w14:paraId="2B677205" w14:textId="77777777" w:rsidR="00CB05B1" w:rsidRPr="00CB05B1" w:rsidRDefault="00CB05B1" w:rsidP="00CB05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</w:rPr>
            </w:pPr>
            <w:r w:rsidRPr="00CB05B1">
              <w:rPr>
                <w:rFonts w:ascii="Arial" w:hAnsi="Arial" w:cs="Arial"/>
                <w:bCs/>
                <w:iCs/>
              </w:rPr>
              <w:t>Personally contribute towards reducing the university’s impact on the environment and support actions associated with the UAL Sustainability Manifesto (2016 – 2022)</w:t>
            </w:r>
          </w:p>
          <w:p w14:paraId="3A8DE83B" w14:textId="77777777" w:rsidR="00594C01" w:rsidRPr="003D3432" w:rsidRDefault="00594C01" w:rsidP="00450075"/>
        </w:tc>
      </w:tr>
      <w:tr w:rsidR="00594C01" w:rsidRPr="00C007C8" w14:paraId="32AAFFEC" w14:textId="77777777" w:rsidTr="00150DEB">
        <w:trPr>
          <w:trHeight w:val="406"/>
        </w:trPr>
        <w:tc>
          <w:tcPr>
            <w:tcW w:w="9214" w:type="dxa"/>
            <w:gridSpan w:val="3"/>
          </w:tcPr>
          <w:p w14:paraId="01B50FCD" w14:textId="77777777" w:rsidR="00C36210" w:rsidRPr="003D3432" w:rsidRDefault="00594C01" w:rsidP="000B4B43">
            <w:pPr>
              <w:spacing w:before="120" w:after="120"/>
            </w:pPr>
            <w:r w:rsidRPr="003D3432">
              <w:rPr>
                <w:b/>
              </w:rPr>
              <w:lastRenderedPageBreak/>
              <w:t xml:space="preserve">Key </w:t>
            </w:r>
            <w:r w:rsidR="00231193" w:rsidRPr="003D3432">
              <w:rPr>
                <w:b/>
              </w:rPr>
              <w:t>working relationships</w:t>
            </w:r>
          </w:p>
          <w:p w14:paraId="477A1E04" w14:textId="77777777" w:rsidR="00EE6371" w:rsidRPr="00EE6371" w:rsidRDefault="00EE6371" w:rsidP="00EE63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</w:rPr>
            </w:pPr>
            <w:r w:rsidRPr="00EE6371">
              <w:rPr>
                <w:rFonts w:ascii="Arial" w:hAnsi="Arial" w:cs="Arial"/>
                <w:bCs/>
                <w:iCs/>
              </w:rPr>
              <w:t>Head of HR Systems, Payroll and Pensions</w:t>
            </w:r>
          </w:p>
          <w:p w14:paraId="32DE5A0B" w14:textId="77777777" w:rsidR="00EE6371" w:rsidRPr="00EE6371" w:rsidRDefault="00EE6371" w:rsidP="00EE63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</w:rPr>
            </w:pPr>
            <w:r w:rsidRPr="00EE6371">
              <w:rPr>
                <w:rFonts w:ascii="Arial" w:hAnsi="Arial" w:cs="Arial"/>
                <w:bCs/>
                <w:iCs/>
              </w:rPr>
              <w:t>HR Associate Director for HR Services and Resourcing</w:t>
            </w:r>
          </w:p>
          <w:p w14:paraId="173122A1" w14:textId="77777777" w:rsidR="00EE6371" w:rsidRPr="00EE6371" w:rsidRDefault="00EE6371" w:rsidP="00EE63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</w:rPr>
            </w:pPr>
            <w:r w:rsidRPr="00EE6371">
              <w:rPr>
                <w:rFonts w:ascii="Arial" w:hAnsi="Arial" w:cs="Arial"/>
                <w:bCs/>
                <w:iCs/>
              </w:rPr>
              <w:t>Head of HR Operations</w:t>
            </w:r>
          </w:p>
          <w:p w14:paraId="530A2AAB" w14:textId="77777777" w:rsidR="00EE6371" w:rsidRPr="00EE6371" w:rsidRDefault="00EE6371" w:rsidP="00EE63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</w:rPr>
            </w:pPr>
            <w:r w:rsidRPr="00EE6371">
              <w:rPr>
                <w:rFonts w:ascii="Arial" w:hAnsi="Arial" w:cs="Arial"/>
                <w:bCs/>
                <w:iCs/>
              </w:rPr>
              <w:t>HR Operation Manager, HR Workforce Data &amp; Systems Manager, Pension Manager</w:t>
            </w:r>
          </w:p>
          <w:p w14:paraId="4813B418" w14:textId="70F0EB3B" w:rsidR="00EE6371" w:rsidRPr="00EE6371" w:rsidRDefault="00EE6371" w:rsidP="00EE63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</w:rPr>
            </w:pPr>
            <w:r w:rsidRPr="00EE6371">
              <w:rPr>
                <w:rFonts w:ascii="Arial" w:hAnsi="Arial" w:cs="Arial"/>
                <w:bCs/>
                <w:iCs/>
              </w:rPr>
              <w:t>External agencies and suppliers with whom regular contact is required</w:t>
            </w:r>
            <w:r w:rsidR="00773448">
              <w:rPr>
                <w:rFonts w:ascii="Arial" w:hAnsi="Arial" w:cs="Arial"/>
                <w:bCs/>
                <w:iCs/>
              </w:rPr>
              <w:t xml:space="preserve"> including HMRC</w:t>
            </w:r>
          </w:p>
          <w:p w14:paraId="51DCF9FC" w14:textId="20EF23FB" w:rsidR="00450075" w:rsidRPr="00EE6371" w:rsidRDefault="00450075" w:rsidP="00773448">
            <w:pPr>
              <w:pStyle w:val="ListParagraph"/>
              <w:ind w:left="360"/>
              <w:rPr>
                <w:rFonts w:ascii="Arial" w:hAnsi="Arial" w:cs="Arial"/>
                <w:bCs/>
                <w:iCs/>
              </w:rPr>
            </w:pPr>
          </w:p>
          <w:p w14:paraId="256F1CA7" w14:textId="77777777" w:rsidR="0099325C" w:rsidRPr="004F6C0F" w:rsidRDefault="0099325C" w:rsidP="00EE6371">
            <w:pPr>
              <w:pStyle w:val="MediumGrid1-Accent21"/>
              <w:ind w:left="0"/>
              <w:rPr>
                <w:rFonts w:ascii="Calibri" w:hAnsi="Calibri"/>
                <w:szCs w:val="22"/>
              </w:rPr>
            </w:pPr>
          </w:p>
        </w:tc>
      </w:tr>
    </w:tbl>
    <w:p w14:paraId="5AF31735" w14:textId="77777777" w:rsidR="00940A84" w:rsidRPr="004C1DCA" w:rsidRDefault="00940A84" w:rsidP="00940A84">
      <w:pPr>
        <w:pStyle w:val="Heading4"/>
        <w:spacing w:after="120"/>
        <w:rPr>
          <w:b/>
          <w:sz w:val="20"/>
        </w:rPr>
      </w:pPr>
      <w:r w:rsidRPr="004C1DCA">
        <w:rPr>
          <w:b/>
          <w:sz w:val="20"/>
        </w:rPr>
        <w:t>Specific Management Responsibilities</w:t>
      </w:r>
    </w:p>
    <w:p w14:paraId="3ACE2C9D" w14:textId="77777777" w:rsidR="00940A84" w:rsidRPr="004C1DCA" w:rsidRDefault="00940A84" w:rsidP="00940A84">
      <w:pPr>
        <w:spacing w:after="120"/>
        <w:rPr>
          <w:rFonts w:ascii="Arial" w:hAnsi="Arial"/>
          <w:sz w:val="20"/>
        </w:rPr>
      </w:pPr>
      <w:r w:rsidRPr="004C1DCA">
        <w:rPr>
          <w:rFonts w:ascii="Arial" w:hAnsi="Arial"/>
          <w:b/>
          <w:sz w:val="20"/>
        </w:rPr>
        <w:t>Budgets</w:t>
      </w:r>
      <w:r w:rsidRPr="004C1DCA">
        <w:rPr>
          <w:rFonts w:ascii="Arial" w:hAnsi="Arial"/>
          <w:sz w:val="20"/>
        </w:rPr>
        <w:t xml:space="preserve">: </w:t>
      </w:r>
      <w:proofErr w:type="gramStart"/>
      <w:r w:rsidRPr="004C1DCA">
        <w:rPr>
          <w:rFonts w:ascii="Arial" w:hAnsi="Arial"/>
          <w:sz w:val="20"/>
        </w:rPr>
        <w:t>n/a</w:t>
      </w:r>
      <w:proofErr w:type="gramEnd"/>
    </w:p>
    <w:p w14:paraId="12924D24" w14:textId="56638418" w:rsidR="00940A84" w:rsidRDefault="00940A84" w:rsidP="00940A84">
      <w:pPr>
        <w:pStyle w:val="BodyText2"/>
        <w:spacing w:after="120"/>
      </w:pPr>
      <w:r w:rsidRPr="004C1DCA">
        <w:rPr>
          <w:b/>
        </w:rPr>
        <w:t>Staff</w:t>
      </w:r>
      <w:r w:rsidRPr="004C1DCA">
        <w:t>:</w:t>
      </w:r>
      <w:r>
        <w:t xml:space="preserve"> </w:t>
      </w:r>
      <w:proofErr w:type="gramStart"/>
      <w:r>
        <w:t>n/a</w:t>
      </w:r>
      <w:proofErr w:type="gramEnd"/>
    </w:p>
    <w:p w14:paraId="2EADFBB6" w14:textId="77777777" w:rsidR="00940A84" w:rsidRDefault="00940A84" w:rsidP="00940A84">
      <w:pPr>
        <w:rPr>
          <w:rFonts w:ascii="Arial" w:hAnsi="Arial" w:cs="Arial"/>
          <w:sz w:val="20"/>
          <w:szCs w:val="20"/>
        </w:rPr>
      </w:pPr>
    </w:p>
    <w:p w14:paraId="639E4164" w14:textId="77777777" w:rsidR="00940A84" w:rsidRDefault="00940A84" w:rsidP="00940A84">
      <w:pPr>
        <w:ind w:left="426"/>
        <w:rPr>
          <w:rFonts w:ascii="Arial" w:hAnsi="Arial" w:cs="Arial"/>
          <w:sz w:val="20"/>
          <w:szCs w:val="20"/>
        </w:rPr>
      </w:pPr>
    </w:p>
    <w:p w14:paraId="6528BEA0" w14:textId="493F9615" w:rsidR="00594C01" w:rsidRPr="00C007C8" w:rsidRDefault="00940A84" w:rsidP="00940A84">
      <w:r w:rsidRPr="004C1DCA">
        <w:rPr>
          <w:rFonts w:ascii="Arial" w:hAnsi="Arial"/>
          <w:b/>
          <w:sz w:val="20"/>
        </w:rPr>
        <w:t>Other</w:t>
      </w:r>
      <w:r w:rsidRPr="004C1DCA">
        <w:rPr>
          <w:rFonts w:ascii="Arial" w:hAnsi="Arial"/>
          <w:sz w:val="20"/>
        </w:rPr>
        <w:t xml:space="preserve"> (e.g. accommodation; equipment):</w:t>
      </w:r>
      <w:proofErr w:type="gramStart"/>
      <w:r w:rsidRPr="004C1DCA">
        <w:rPr>
          <w:rFonts w:ascii="Arial" w:hAnsi="Arial"/>
          <w:sz w:val="20"/>
        </w:rPr>
        <w:t>n/a</w:t>
      </w:r>
      <w:proofErr w:type="gramEnd"/>
    </w:p>
    <w:p w14:paraId="6725DB50" w14:textId="77777777" w:rsidR="00DE696E" w:rsidRDefault="00DE696E" w:rsidP="00CD67A8">
      <w:pPr>
        <w:ind w:left="-142"/>
      </w:pPr>
      <w:r>
        <w:br w:type="page"/>
      </w:r>
    </w:p>
    <w:p w14:paraId="325B6813" w14:textId="77777777" w:rsidR="00594C01" w:rsidRPr="00C007C8" w:rsidRDefault="00594C01" w:rsidP="00C007C8"/>
    <w:p w14:paraId="77B47CD6" w14:textId="77777777" w:rsidR="00DE696E" w:rsidRPr="00CE2F41" w:rsidRDefault="00DE696E" w:rsidP="00DE696E">
      <w:pPr>
        <w:rPr>
          <w:rFonts w:ascii="Calibri" w:hAnsi="Calibri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E696E" w:rsidRPr="005D7A28" w14:paraId="1B9096BC" w14:textId="77777777" w:rsidTr="008A7AE8">
        <w:trPr>
          <w:trHeight w:val="410"/>
        </w:trPr>
        <w:tc>
          <w:tcPr>
            <w:tcW w:w="9016" w:type="dxa"/>
            <w:gridSpan w:val="2"/>
            <w:shd w:val="clear" w:color="auto" w:fill="000000" w:themeFill="text1"/>
            <w:vAlign w:val="center"/>
          </w:tcPr>
          <w:p w14:paraId="62261913" w14:textId="77777777" w:rsidR="00DE696E" w:rsidRDefault="00815AAD" w:rsidP="00815AAD">
            <w:pPr>
              <w:jc w:val="center"/>
              <w:rPr>
                <w:rFonts w:ascii="Calibri" w:hAnsi="Calibri" w:cs="Arial"/>
                <w:b/>
              </w:rPr>
            </w:pPr>
            <w:r w:rsidRPr="00815AAD">
              <w:rPr>
                <w:rFonts w:ascii="Calibri" w:hAnsi="Calibri" w:cs="Arial"/>
                <w:b/>
              </w:rPr>
              <w:t>PERSON SPECIFICATION</w:t>
            </w:r>
          </w:p>
          <w:p w14:paraId="6A9CC724" w14:textId="77777777" w:rsidR="00431B5B" w:rsidRPr="00815AAD" w:rsidRDefault="00431B5B" w:rsidP="00815AAD">
            <w:pPr>
              <w:jc w:val="center"/>
              <w:rPr>
                <w:rFonts w:ascii="Calibri" w:hAnsi="Calibri" w:cs="Arial"/>
                <w:b/>
                <w:color w:val="262626" w:themeColor="text1" w:themeTint="D9"/>
              </w:rPr>
            </w:pPr>
          </w:p>
        </w:tc>
      </w:tr>
      <w:tr w:rsidR="00DE696E" w:rsidRPr="005D7A28" w14:paraId="6EF2CAAE" w14:textId="77777777" w:rsidTr="0062067E">
        <w:tc>
          <w:tcPr>
            <w:tcW w:w="3256" w:type="dxa"/>
          </w:tcPr>
          <w:p w14:paraId="14F357EE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Specialist Knowledge/Qualifications</w:t>
            </w:r>
          </w:p>
        </w:tc>
        <w:tc>
          <w:tcPr>
            <w:tcW w:w="5760" w:type="dxa"/>
          </w:tcPr>
          <w:p w14:paraId="4C7CE890" w14:textId="08A6E39A" w:rsidR="00603E81" w:rsidRPr="005D7A28" w:rsidRDefault="00940A84" w:rsidP="00940A84">
            <w:pPr>
              <w:rPr>
                <w:rFonts w:ascii="Calibri" w:hAnsi="Calibri" w:cs="Arial"/>
              </w:rPr>
            </w:pPr>
            <w:r w:rsidRPr="00940A84">
              <w:rPr>
                <w:rFonts w:ascii="Arial" w:hAnsi="Arial" w:cs="Arial"/>
                <w:color w:val="000000"/>
                <w:sz w:val="24"/>
              </w:rPr>
              <w:t>Demonstrable knowledge of UK payroll legislation and or completion of a recognised payroll qualification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DE696E" w:rsidRPr="005D7A28" w14:paraId="09F9F3DB" w14:textId="77777777" w:rsidTr="0062067E">
        <w:tc>
          <w:tcPr>
            <w:tcW w:w="3256" w:type="dxa"/>
          </w:tcPr>
          <w:p w14:paraId="73566467" w14:textId="77777777" w:rsidR="00DE696E" w:rsidRPr="005D7A28" w:rsidRDefault="00DE696E" w:rsidP="001F575A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Relevant Experience</w:t>
            </w:r>
          </w:p>
        </w:tc>
        <w:tc>
          <w:tcPr>
            <w:tcW w:w="5760" w:type="dxa"/>
          </w:tcPr>
          <w:p w14:paraId="2B4B7CA8" w14:textId="449D1E52" w:rsidR="00603E81" w:rsidRPr="0062067E" w:rsidRDefault="00940A84" w:rsidP="00940A84">
            <w:pPr>
              <w:rPr>
                <w:rFonts w:ascii="Calibri" w:hAnsi="Calibri" w:cs="Arial"/>
              </w:rPr>
            </w:pPr>
            <w:r w:rsidRPr="00940A84">
              <w:rPr>
                <w:rFonts w:ascii="Arial" w:hAnsi="Arial" w:cs="Arial"/>
                <w:color w:val="000000"/>
                <w:sz w:val="24"/>
              </w:rPr>
              <w:t>Demonstrable payroll administration experience in a large and similarly complex organisation</w:t>
            </w:r>
            <w:r>
              <w:rPr>
                <w:rFonts w:ascii="Calibri" w:hAnsi="Calibri" w:cs="Arial"/>
              </w:rPr>
              <w:t xml:space="preserve">. </w:t>
            </w:r>
          </w:p>
        </w:tc>
      </w:tr>
      <w:tr w:rsidR="00DE696E" w:rsidRPr="005D7A28" w14:paraId="5E5924FE" w14:textId="77777777" w:rsidTr="0062067E">
        <w:tc>
          <w:tcPr>
            <w:tcW w:w="3256" w:type="dxa"/>
            <w:vAlign w:val="center"/>
          </w:tcPr>
          <w:p w14:paraId="550CBC39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Communica</w:t>
            </w:r>
            <w:r>
              <w:rPr>
                <w:rFonts w:ascii="Calibri" w:hAnsi="Calibri" w:cs="Arial"/>
              </w:rPr>
              <w:t>t</w:t>
            </w:r>
            <w:r w:rsidRPr="005D7A28">
              <w:rPr>
                <w:rFonts w:ascii="Calibri" w:hAnsi="Calibri" w:cs="Arial"/>
              </w:rPr>
              <w:t>ion Skills</w:t>
            </w:r>
          </w:p>
        </w:tc>
        <w:tc>
          <w:tcPr>
            <w:tcW w:w="5760" w:type="dxa"/>
            <w:vAlign w:val="center"/>
          </w:tcPr>
          <w:p w14:paraId="649DC23A" w14:textId="77777777" w:rsidR="00450075" w:rsidRPr="00E919F3" w:rsidRDefault="00450075" w:rsidP="00450075">
            <w:pPr>
              <w:rPr>
                <w:rFonts w:ascii="Arial" w:hAnsi="Arial" w:cs="Arial"/>
                <w:color w:val="000000"/>
                <w:sz w:val="24"/>
              </w:rPr>
            </w:pPr>
            <w:r w:rsidRPr="00E919F3">
              <w:rPr>
                <w:rFonts w:ascii="Arial" w:hAnsi="Arial" w:cs="Arial"/>
                <w:color w:val="000000"/>
                <w:sz w:val="24"/>
              </w:rPr>
              <w:t>Communicates effectively orally, in writing and/or using visual media.</w:t>
            </w:r>
          </w:p>
          <w:p w14:paraId="13311E03" w14:textId="77777777" w:rsidR="00603E81" w:rsidRPr="002E5251" w:rsidRDefault="00603E81" w:rsidP="002539C9">
            <w:pPr>
              <w:rPr>
                <w:rFonts w:ascii="Calibri" w:hAnsi="Calibri" w:cs="Arial"/>
              </w:rPr>
            </w:pPr>
          </w:p>
        </w:tc>
      </w:tr>
      <w:tr w:rsidR="008A7AE8" w:rsidRPr="005D7A28" w14:paraId="5E882A5E" w14:textId="77777777" w:rsidTr="0062067E">
        <w:tc>
          <w:tcPr>
            <w:tcW w:w="3256" w:type="dxa"/>
            <w:vAlign w:val="center"/>
          </w:tcPr>
          <w:p w14:paraId="1CECFE31" w14:textId="77777777" w:rsidR="008A7AE8" w:rsidRPr="005D7A28" w:rsidRDefault="008A7AE8" w:rsidP="008A7AE8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Leadership and Management</w:t>
            </w:r>
          </w:p>
        </w:tc>
        <w:tc>
          <w:tcPr>
            <w:tcW w:w="5760" w:type="dxa"/>
            <w:vAlign w:val="center"/>
          </w:tcPr>
          <w:p w14:paraId="4AE05014" w14:textId="77777777" w:rsidR="00450075" w:rsidRPr="005A3588" w:rsidRDefault="00450075" w:rsidP="00450075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Leading by example</w:t>
            </w:r>
          </w:p>
          <w:p w14:paraId="1A6CE489" w14:textId="77777777" w:rsidR="008A7AE8" w:rsidRPr="005D7A28" w:rsidRDefault="008A7AE8" w:rsidP="002539C9">
            <w:pPr>
              <w:spacing w:before="120" w:after="120"/>
              <w:rPr>
                <w:rFonts w:ascii="Calibri" w:hAnsi="Calibri" w:cs="Arial"/>
                <w:i/>
              </w:rPr>
            </w:pPr>
          </w:p>
        </w:tc>
      </w:tr>
      <w:tr w:rsidR="008A7AE8" w:rsidRPr="005D7A28" w14:paraId="5A5BA5B5" w14:textId="77777777" w:rsidTr="0062067E">
        <w:tc>
          <w:tcPr>
            <w:tcW w:w="3256" w:type="dxa"/>
            <w:vAlign w:val="center"/>
          </w:tcPr>
          <w:p w14:paraId="28CE46BF" w14:textId="77777777" w:rsidR="008A7AE8" w:rsidRPr="005D7A28" w:rsidRDefault="008A7AE8" w:rsidP="008A7AE8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 xml:space="preserve">Professional Practice </w:t>
            </w:r>
          </w:p>
        </w:tc>
        <w:tc>
          <w:tcPr>
            <w:tcW w:w="5760" w:type="dxa"/>
            <w:vAlign w:val="center"/>
          </w:tcPr>
          <w:p w14:paraId="0C7CC4C3" w14:textId="77777777" w:rsidR="00450075" w:rsidRPr="005A3588" w:rsidRDefault="00450075" w:rsidP="00450075">
            <w:pPr>
              <w:rPr>
                <w:rFonts w:ascii="Arial" w:hAnsi="Arial" w:cs="Arial"/>
                <w:color w:val="000000"/>
                <w:sz w:val="24"/>
              </w:rPr>
            </w:pPr>
            <w:r w:rsidRPr="005A3588">
              <w:rPr>
                <w:rFonts w:ascii="Arial" w:hAnsi="Arial" w:cs="Arial"/>
                <w:color w:val="000000"/>
                <w:sz w:val="24"/>
              </w:rPr>
              <w:t xml:space="preserve">Contributes to advancing own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skills and experience in </w:t>
            </w:r>
            <w:r w:rsidRPr="005A3588">
              <w:rPr>
                <w:rFonts w:ascii="Arial" w:hAnsi="Arial" w:cs="Arial"/>
                <w:color w:val="000000"/>
                <w:sz w:val="24"/>
              </w:rPr>
              <w:t xml:space="preserve">area of specialism </w:t>
            </w:r>
          </w:p>
          <w:p w14:paraId="2995293C" w14:textId="77777777" w:rsidR="00CC5E95" w:rsidRPr="004F6C0F" w:rsidRDefault="00CC5E95" w:rsidP="008951E4">
            <w:pPr>
              <w:spacing w:before="120" w:after="120"/>
              <w:rPr>
                <w:rFonts w:ascii="Calibri" w:hAnsi="Calibri" w:cs="Arial"/>
                <w:color w:val="000000"/>
              </w:rPr>
            </w:pPr>
          </w:p>
        </w:tc>
      </w:tr>
      <w:tr w:rsidR="008A7AE8" w:rsidRPr="005D7A28" w14:paraId="0FBD75DD" w14:textId="77777777" w:rsidTr="0062067E">
        <w:tc>
          <w:tcPr>
            <w:tcW w:w="3256" w:type="dxa"/>
            <w:vAlign w:val="center"/>
          </w:tcPr>
          <w:p w14:paraId="08F0F277" w14:textId="77777777" w:rsidR="008A7AE8" w:rsidRPr="005D7A28" w:rsidRDefault="008A7AE8" w:rsidP="008A7AE8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Planning and Managing Resources</w:t>
            </w:r>
          </w:p>
        </w:tc>
        <w:tc>
          <w:tcPr>
            <w:tcW w:w="5760" w:type="dxa"/>
            <w:vAlign w:val="center"/>
          </w:tcPr>
          <w:p w14:paraId="1E926D50" w14:textId="77777777" w:rsidR="00450075" w:rsidRPr="00E919F3" w:rsidRDefault="00450075" w:rsidP="00450075">
            <w:pPr>
              <w:rPr>
                <w:rFonts w:ascii="Arial" w:hAnsi="Arial" w:cs="Arial"/>
                <w:color w:val="000000"/>
                <w:sz w:val="24"/>
              </w:rPr>
            </w:pPr>
            <w:r w:rsidRPr="00E919F3">
              <w:rPr>
                <w:rFonts w:ascii="Arial" w:hAnsi="Arial" w:cs="Arial"/>
                <w:color w:val="000000"/>
                <w:sz w:val="24"/>
              </w:rPr>
              <w:t>Plans, prioritises and organises work to achieve  objectives on time</w:t>
            </w:r>
          </w:p>
          <w:p w14:paraId="727864BC" w14:textId="77777777" w:rsidR="00AB1047" w:rsidRPr="002E5251" w:rsidRDefault="00AB1047" w:rsidP="00AB1047">
            <w:pPr>
              <w:contextualSpacing/>
              <w:rPr>
                <w:rFonts w:ascii="Calibri" w:hAnsi="Calibri" w:cs="Arial"/>
              </w:rPr>
            </w:pPr>
          </w:p>
        </w:tc>
      </w:tr>
      <w:tr w:rsidR="0062067E" w:rsidRPr="005D7A28" w14:paraId="5ED29100" w14:textId="77777777" w:rsidTr="0062067E">
        <w:tc>
          <w:tcPr>
            <w:tcW w:w="3256" w:type="dxa"/>
            <w:vAlign w:val="center"/>
          </w:tcPr>
          <w:p w14:paraId="725F529C" w14:textId="77777777" w:rsidR="0062067E" w:rsidRPr="005D7A28" w:rsidRDefault="0062067E" w:rsidP="0062067E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Teamwork</w:t>
            </w:r>
          </w:p>
        </w:tc>
        <w:tc>
          <w:tcPr>
            <w:tcW w:w="5760" w:type="dxa"/>
            <w:vAlign w:val="center"/>
          </w:tcPr>
          <w:p w14:paraId="4DF114C5" w14:textId="77777777" w:rsidR="00450075" w:rsidRPr="002E37BF" w:rsidRDefault="00450075" w:rsidP="00450075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with different professional groups.</w:t>
            </w:r>
          </w:p>
          <w:p w14:paraId="34B6AB33" w14:textId="77777777" w:rsidR="0062067E" w:rsidRPr="005D7A28" w:rsidRDefault="0062067E" w:rsidP="00AB1047">
            <w:pPr>
              <w:contextualSpacing/>
              <w:rPr>
                <w:rFonts w:ascii="Calibri" w:hAnsi="Calibri" w:cs="Arial"/>
              </w:rPr>
            </w:pPr>
          </w:p>
        </w:tc>
      </w:tr>
      <w:tr w:rsidR="0062067E" w:rsidRPr="005D7A28" w14:paraId="2CACCAA2" w14:textId="77777777" w:rsidTr="0062067E">
        <w:tc>
          <w:tcPr>
            <w:tcW w:w="3256" w:type="dxa"/>
            <w:vAlign w:val="center"/>
          </w:tcPr>
          <w:p w14:paraId="4F11A629" w14:textId="77777777" w:rsidR="0062067E" w:rsidRPr="005D7A28" w:rsidRDefault="0062067E" w:rsidP="0062067E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Creativity,</w:t>
            </w:r>
            <w:r>
              <w:rPr>
                <w:rFonts w:ascii="Calibri" w:hAnsi="Calibri" w:cs="Arial"/>
              </w:rPr>
              <w:t xml:space="preserve"> Innovation and Problem Solving</w:t>
            </w:r>
          </w:p>
        </w:tc>
        <w:tc>
          <w:tcPr>
            <w:tcW w:w="5760" w:type="dxa"/>
            <w:vAlign w:val="center"/>
          </w:tcPr>
          <w:p w14:paraId="732041B7" w14:textId="77777777" w:rsidR="00450075" w:rsidRPr="00E919F3" w:rsidRDefault="00450075" w:rsidP="00450075">
            <w:pPr>
              <w:rPr>
                <w:rFonts w:ascii="Arial" w:hAnsi="Arial" w:cs="Arial"/>
                <w:color w:val="000000"/>
                <w:sz w:val="24"/>
              </w:rPr>
            </w:pPr>
            <w:r w:rsidRPr="00E919F3">
              <w:rPr>
                <w:rFonts w:ascii="Arial" w:hAnsi="Arial" w:cs="Arial"/>
                <w:color w:val="000000"/>
                <w:sz w:val="24"/>
              </w:rPr>
              <w:t>Uses initia</w:t>
            </w:r>
            <w:r>
              <w:rPr>
                <w:rFonts w:ascii="Arial" w:hAnsi="Arial" w:cs="Arial"/>
                <w:color w:val="000000"/>
                <w:sz w:val="24"/>
              </w:rPr>
              <w:t xml:space="preserve">tive or creativity to resolve </w:t>
            </w:r>
            <w:r w:rsidRPr="00E919F3">
              <w:rPr>
                <w:rFonts w:ascii="Arial" w:hAnsi="Arial" w:cs="Arial"/>
                <w:color w:val="000000"/>
                <w:sz w:val="24"/>
              </w:rPr>
              <w:t>problem</w:t>
            </w:r>
            <w:r>
              <w:rPr>
                <w:rFonts w:ascii="Arial" w:hAnsi="Arial" w:cs="Arial"/>
                <w:color w:val="000000"/>
                <w:sz w:val="24"/>
              </w:rPr>
              <w:t>s</w:t>
            </w:r>
          </w:p>
          <w:p w14:paraId="37860CFB" w14:textId="77777777" w:rsidR="0062067E" w:rsidRPr="0062067E" w:rsidRDefault="0062067E" w:rsidP="002E671C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</w:tr>
    </w:tbl>
    <w:p w14:paraId="7BE66D55" w14:textId="77777777" w:rsidR="00603E81" w:rsidRDefault="00603E81" w:rsidP="00DE696E">
      <w:pPr>
        <w:spacing w:before="120"/>
        <w:rPr>
          <w:rFonts w:ascii="Calibri" w:hAnsi="Calibri" w:cs="Arial"/>
          <w:bCs/>
        </w:rPr>
      </w:pPr>
    </w:p>
    <w:p w14:paraId="51FD56D4" w14:textId="77777777" w:rsidR="001C6D22" w:rsidRDefault="00DE696E" w:rsidP="00DE696E">
      <w:pPr>
        <w:spacing w:before="120"/>
        <w:rPr>
          <w:rFonts w:ascii="Calibri" w:hAnsi="Calibri" w:cs="Arial"/>
          <w:bCs/>
        </w:rPr>
      </w:pPr>
      <w:r w:rsidRPr="005D7A28">
        <w:rPr>
          <w:rFonts w:ascii="Calibri" w:hAnsi="Calibri" w:cs="Arial"/>
          <w:bCs/>
        </w:rPr>
        <w:t>Please make sure you provide evidence to demonstrate clearly how you meet these criteria</w:t>
      </w:r>
      <w:r w:rsidR="00603E81">
        <w:rPr>
          <w:rFonts w:ascii="Calibri" w:hAnsi="Calibri" w:cs="Arial"/>
          <w:bCs/>
        </w:rPr>
        <w:t xml:space="preserve">, </w:t>
      </w:r>
      <w:r w:rsidR="00603E81" w:rsidRPr="00431B5B">
        <w:rPr>
          <w:rFonts w:ascii="Calibri" w:hAnsi="Calibri" w:cs="Arial"/>
          <w:b/>
          <w:bCs/>
        </w:rPr>
        <w:t>which are all essential unless marked otherwise</w:t>
      </w:r>
      <w:r w:rsidR="00603E81">
        <w:rPr>
          <w:rFonts w:ascii="Calibri" w:hAnsi="Calibri" w:cs="Arial"/>
          <w:bCs/>
        </w:rPr>
        <w:t>.</w:t>
      </w:r>
      <w:r w:rsidR="001C6D22">
        <w:rPr>
          <w:rFonts w:ascii="Calibri" w:hAnsi="Calibri" w:cs="Arial"/>
          <w:bCs/>
        </w:rPr>
        <w:t xml:space="preserve"> </w:t>
      </w:r>
      <w:r w:rsidR="001C6D22" w:rsidRPr="005D7A28">
        <w:rPr>
          <w:rFonts w:ascii="Calibri" w:hAnsi="Calibri" w:cs="Arial"/>
          <w:bCs/>
        </w:rPr>
        <w:t>Shortlisting will be based on your responses</w:t>
      </w:r>
      <w:r>
        <w:rPr>
          <w:rFonts w:ascii="Calibri" w:hAnsi="Calibri" w:cs="Arial"/>
          <w:bCs/>
        </w:rPr>
        <w:t xml:space="preserve">. </w:t>
      </w:r>
    </w:p>
    <w:p w14:paraId="7EF8F414" w14:textId="77777777" w:rsidR="00FC2F78" w:rsidRDefault="00FC2F78" w:rsidP="00DE696E">
      <w:pPr>
        <w:spacing w:before="120"/>
        <w:rPr>
          <w:rFonts w:ascii="Calibri" w:hAnsi="Calibri" w:cs="Arial"/>
        </w:rPr>
      </w:pPr>
    </w:p>
    <w:p w14:paraId="2FB8A724" w14:textId="7E32EC30" w:rsidR="00DE696E" w:rsidRPr="00FC2F78" w:rsidRDefault="00DE696E" w:rsidP="00DE696E">
      <w:pPr>
        <w:spacing w:before="120"/>
        <w:rPr>
          <w:rFonts w:ascii="Calibri" w:hAnsi="Calibri" w:cs="Arial"/>
        </w:rPr>
      </w:pPr>
      <w:r w:rsidRPr="00FC2F78">
        <w:rPr>
          <w:rFonts w:ascii="Calibri" w:hAnsi="Calibri" w:cs="Arial"/>
        </w:rPr>
        <w:t xml:space="preserve">Last updated: </w:t>
      </w:r>
      <w:r w:rsidR="00940A84">
        <w:rPr>
          <w:rFonts w:ascii="Calibri" w:hAnsi="Calibri" w:cs="Arial"/>
        </w:rPr>
        <w:t xml:space="preserve">October </w:t>
      </w:r>
      <w:bookmarkStart w:id="0" w:name="_GoBack"/>
      <w:bookmarkEnd w:id="0"/>
      <w:r w:rsidR="004028FF">
        <w:rPr>
          <w:rFonts w:ascii="Calibri" w:hAnsi="Calibri" w:cs="Arial"/>
        </w:rPr>
        <w:t>2020</w:t>
      </w:r>
    </w:p>
    <w:p w14:paraId="59F0DDED" w14:textId="77777777" w:rsidR="004333A8" w:rsidRPr="00C007C8" w:rsidRDefault="004333A8" w:rsidP="00C007C8"/>
    <w:p w14:paraId="087EC2BD" w14:textId="77777777" w:rsidR="00594C01" w:rsidRPr="00C007C8" w:rsidRDefault="00594C01" w:rsidP="00C007C8"/>
    <w:sectPr w:rsidR="00594C01" w:rsidRPr="00C007C8" w:rsidSect="00687B6D">
      <w:headerReference w:type="default" r:id="rId11"/>
      <w:headerReference w:type="first" r:id="rId12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AA04C" w14:textId="77777777" w:rsidR="00470E6D" w:rsidRDefault="00470E6D">
      <w:r>
        <w:separator/>
      </w:r>
    </w:p>
  </w:endnote>
  <w:endnote w:type="continuationSeparator" w:id="0">
    <w:p w14:paraId="46340A2E" w14:textId="77777777" w:rsidR="00470E6D" w:rsidRDefault="00470E6D">
      <w:r>
        <w:continuationSeparator/>
      </w:r>
    </w:p>
  </w:endnote>
  <w:endnote w:type="continuationNotice" w:id="1">
    <w:p w14:paraId="5F8095BD" w14:textId="77777777" w:rsidR="00470E6D" w:rsidRDefault="00470E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65A05" w14:textId="77777777" w:rsidR="00470E6D" w:rsidRDefault="00470E6D">
      <w:r>
        <w:separator/>
      </w:r>
    </w:p>
  </w:footnote>
  <w:footnote w:type="continuationSeparator" w:id="0">
    <w:p w14:paraId="27D522B1" w14:textId="77777777" w:rsidR="00470E6D" w:rsidRDefault="00470E6D">
      <w:r>
        <w:continuationSeparator/>
      </w:r>
    </w:p>
  </w:footnote>
  <w:footnote w:type="continuationNotice" w:id="1">
    <w:p w14:paraId="4D685BE4" w14:textId="77777777" w:rsidR="00470E6D" w:rsidRDefault="00470E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16B1A" w14:textId="6B82A322"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0F12B" w14:textId="77777777"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 wp14:anchorId="66FDB618" wp14:editId="2E3FA9BC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3295E"/>
    <w:multiLevelType w:val="hybridMultilevel"/>
    <w:tmpl w:val="B1521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D2BD9"/>
    <w:multiLevelType w:val="hybridMultilevel"/>
    <w:tmpl w:val="D0FE5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41B37"/>
    <w:multiLevelType w:val="hybridMultilevel"/>
    <w:tmpl w:val="76D8C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A92459"/>
    <w:multiLevelType w:val="hybridMultilevel"/>
    <w:tmpl w:val="8CBA2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C45A1"/>
    <w:multiLevelType w:val="hybridMultilevel"/>
    <w:tmpl w:val="001A3B22"/>
    <w:lvl w:ilvl="0" w:tplc="10142FF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996E3F6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0E2AC474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52284416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8D86D426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50E28634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EBE2DB5C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009E22F0"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D408E442"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7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BD5FF9"/>
    <w:multiLevelType w:val="hybridMultilevel"/>
    <w:tmpl w:val="58AE7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85F6B"/>
    <w:multiLevelType w:val="hybridMultilevel"/>
    <w:tmpl w:val="B5CE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wMDI2MTQzszA2sTBQ0lEKTi0uzszPAykwrAUAiDiwsywAAAA="/>
  </w:docVars>
  <w:rsids>
    <w:rsidRoot w:val="000940A9"/>
    <w:rsid w:val="00000FB6"/>
    <w:rsid w:val="0002733A"/>
    <w:rsid w:val="00043AA1"/>
    <w:rsid w:val="00084C0E"/>
    <w:rsid w:val="00094004"/>
    <w:rsid w:val="000940A9"/>
    <w:rsid w:val="000A7396"/>
    <w:rsid w:val="000B4B43"/>
    <w:rsid w:val="000C0840"/>
    <w:rsid w:val="000C2C30"/>
    <w:rsid w:val="000D74A4"/>
    <w:rsid w:val="000F2DDA"/>
    <w:rsid w:val="00103C44"/>
    <w:rsid w:val="00117B35"/>
    <w:rsid w:val="00143C49"/>
    <w:rsid w:val="00150DEB"/>
    <w:rsid w:val="001C6D22"/>
    <w:rsid w:val="001D0B67"/>
    <w:rsid w:val="001F490C"/>
    <w:rsid w:val="00231193"/>
    <w:rsid w:val="002472A5"/>
    <w:rsid w:val="002539C9"/>
    <w:rsid w:val="00262E2D"/>
    <w:rsid w:val="00265D84"/>
    <w:rsid w:val="00267073"/>
    <w:rsid w:val="00273FAC"/>
    <w:rsid w:val="0027651F"/>
    <w:rsid w:val="00284B93"/>
    <w:rsid w:val="00286686"/>
    <w:rsid w:val="002939DD"/>
    <w:rsid w:val="00296584"/>
    <w:rsid w:val="002A1A2A"/>
    <w:rsid w:val="002B7662"/>
    <w:rsid w:val="002C2DE7"/>
    <w:rsid w:val="002C68F0"/>
    <w:rsid w:val="002E5251"/>
    <w:rsid w:val="002E671C"/>
    <w:rsid w:val="002F797C"/>
    <w:rsid w:val="00317BFE"/>
    <w:rsid w:val="00377A40"/>
    <w:rsid w:val="00390BBB"/>
    <w:rsid w:val="003B2633"/>
    <w:rsid w:val="003B3CE6"/>
    <w:rsid w:val="003C2E1D"/>
    <w:rsid w:val="003D3432"/>
    <w:rsid w:val="003D5FCE"/>
    <w:rsid w:val="003E3AE4"/>
    <w:rsid w:val="003F77DF"/>
    <w:rsid w:val="0040142F"/>
    <w:rsid w:val="004028FF"/>
    <w:rsid w:val="00403C33"/>
    <w:rsid w:val="00431B5B"/>
    <w:rsid w:val="004333A8"/>
    <w:rsid w:val="00450075"/>
    <w:rsid w:val="00461E60"/>
    <w:rsid w:val="00470E6D"/>
    <w:rsid w:val="004816C6"/>
    <w:rsid w:val="004879C9"/>
    <w:rsid w:val="004D3601"/>
    <w:rsid w:val="004E3268"/>
    <w:rsid w:val="004F6C0F"/>
    <w:rsid w:val="00504901"/>
    <w:rsid w:val="0051790B"/>
    <w:rsid w:val="00520FE9"/>
    <w:rsid w:val="00525DF6"/>
    <w:rsid w:val="0053123A"/>
    <w:rsid w:val="00556B30"/>
    <w:rsid w:val="00560860"/>
    <w:rsid w:val="005608FB"/>
    <w:rsid w:val="00570A89"/>
    <w:rsid w:val="00570BB1"/>
    <w:rsid w:val="00576313"/>
    <w:rsid w:val="00594C01"/>
    <w:rsid w:val="005F772D"/>
    <w:rsid w:val="006031D0"/>
    <w:rsid w:val="00603E81"/>
    <w:rsid w:val="0062067E"/>
    <w:rsid w:val="00624AA9"/>
    <w:rsid w:val="00624AD2"/>
    <w:rsid w:val="00635CC0"/>
    <w:rsid w:val="00660F33"/>
    <w:rsid w:val="00672261"/>
    <w:rsid w:val="00686EBB"/>
    <w:rsid w:val="00687B6D"/>
    <w:rsid w:val="00697B50"/>
    <w:rsid w:val="006A3235"/>
    <w:rsid w:val="006B24EB"/>
    <w:rsid w:val="006C5F5D"/>
    <w:rsid w:val="006D587E"/>
    <w:rsid w:val="006E5BEA"/>
    <w:rsid w:val="006F3F46"/>
    <w:rsid w:val="006F53E4"/>
    <w:rsid w:val="00703D17"/>
    <w:rsid w:val="007128A1"/>
    <w:rsid w:val="007166ED"/>
    <w:rsid w:val="00721F37"/>
    <w:rsid w:val="00730D34"/>
    <w:rsid w:val="007315B3"/>
    <w:rsid w:val="0074462C"/>
    <w:rsid w:val="00751837"/>
    <w:rsid w:val="00773448"/>
    <w:rsid w:val="007916D4"/>
    <w:rsid w:val="00796DAE"/>
    <w:rsid w:val="007B78E5"/>
    <w:rsid w:val="007E2C75"/>
    <w:rsid w:val="008100BB"/>
    <w:rsid w:val="00815AAD"/>
    <w:rsid w:val="008217DE"/>
    <w:rsid w:val="00844A9D"/>
    <w:rsid w:val="0086107C"/>
    <w:rsid w:val="0086380C"/>
    <w:rsid w:val="00877800"/>
    <w:rsid w:val="00877BBA"/>
    <w:rsid w:val="008951E4"/>
    <w:rsid w:val="008A7AE8"/>
    <w:rsid w:val="008B1D6C"/>
    <w:rsid w:val="008D390B"/>
    <w:rsid w:val="008D48C9"/>
    <w:rsid w:val="008E430C"/>
    <w:rsid w:val="008E488F"/>
    <w:rsid w:val="008F6039"/>
    <w:rsid w:val="009006C3"/>
    <w:rsid w:val="009169E0"/>
    <w:rsid w:val="00921AEB"/>
    <w:rsid w:val="00926944"/>
    <w:rsid w:val="00934B07"/>
    <w:rsid w:val="00940A84"/>
    <w:rsid w:val="009438D6"/>
    <w:rsid w:val="009557D4"/>
    <w:rsid w:val="009741B1"/>
    <w:rsid w:val="0097624E"/>
    <w:rsid w:val="00992ED5"/>
    <w:rsid w:val="0099325C"/>
    <w:rsid w:val="009A741C"/>
    <w:rsid w:val="009F211E"/>
    <w:rsid w:val="009F4719"/>
    <w:rsid w:val="00A0586F"/>
    <w:rsid w:val="00A15DD8"/>
    <w:rsid w:val="00A2502C"/>
    <w:rsid w:val="00A51063"/>
    <w:rsid w:val="00A514C8"/>
    <w:rsid w:val="00A6413C"/>
    <w:rsid w:val="00A95989"/>
    <w:rsid w:val="00AA70BE"/>
    <w:rsid w:val="00AA7EA5"/>
    <w:rsid w:val="00AB1047"/>
    <w:rsid w:val="00AB562A"/>
    <w:rsid w:val="00AD51DD"/>
    <w:rsid w:val="00AD5C3D"/>
    <w:rsid w:val="00AF0EA0"/>
    <w:rsid w:val="00AF6C2A"/>
    <w:rsid w:val="00B06ABB"/>
    <w:rsid w:val="00B26E52"/>
    <w:rsid w:val="00B4142B"/>
    <w:rsid w:val="00B450FC"/>
    <w:rsid w:val="00B67FB4"/>
    <w:rsid w:val="00B96335"/>
    <w:rsid w:val="00BC730C"/>
    <w:rsid w:val="00BE115C"/>
    <w:rsid w:val="00C007C8"/>
    <w:rsid w:val="00C02B9E"/>
    <w:rsid w:val="00C0338F"/>
    <w:rsid w:val="00C36210"/>
    <w:rsid w:val="00C41ED9"/>
    <w:rsid w:val="00C54E60"/>
    <w:rsid w:val="00C66F02"/>
    <w:rsid w:val="00C74767"/>
    <w:rsid w:val="00CA7982"/>
    <w:rsid w:val="00CB05B1"/>
    <w:rsid w:val="00CC5E95"/>
    <w:rsid w:val="00CD1530"/>
    <w:rsid w:val="00CD67A8"/>
    <w:rsid w:val="00CE2F41"/>
    <w:rsid w:val="00D07FB0"/>
    <w:rsid w:val="00D1149C"/>
    <w:rsid w:val="00D21CDF"/>
    <w:rsid w:val="00D26B1F"/>
    <w:rsid w:val="00D27FC8"/>
    <w:rsid w:val="00D6418D"/>
    <w:rsid w:val="00D64415"/>
    <w:rsid w:val="00D87564"/>
    <w:rsid w:val="00DA136C"/>
    <w:rsid w:val="00DA1AA8"/>
    <w:rsid w:val="00DA72AB"/>
    <w:rsid w:val="00DE696E"/>
    <w:rsid w:val="00DF0C27"/>
    <w:rsid w:val="00E00A83"/>
    <w:rsid w:val="00E10084"/>
    <w:rsid w:val="00E16EF2"/>
    <w:rsid w:val="00E23E24"/>
    <w:rsid w:val="00E46D94"/>
    <w:rsid w:val="00E62E0A"/>
    <w:rsid w:val="00E72DD0"/>
    <w:rsid w:val="00E81541"/>
    <w:rsid w:val="00EB1A74"/>
    <w:rsid w:val="00EC1698"/>
    <w:rsid w:val="00EE6371"/>
    <w:rsid w:val="00EF5DB9"/>
    <w:rsid w:val="00F020B4"/>
    <w:rsid w:val="00F332A8"/>
    <w:rsid w:val="00F359FB"/>
    <w:rsid w:val="00F419E5"/>
    <w:rsid w:val="00FA7303"/>
    <w:rsid w:val="00FB0A73"/>
    <w:rsid w:val="00FB43F5"/>
    <w:rsid w:val="00FB4F60"/>
    <w:rsid w:val="00FC2F78"/>
    <w:rsid w:val="00FD4792"/>
    <w:rsid w:val="5437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929B69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D67A8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D67A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CD67A8"/>
    <w:pPr>
      <w:ind w:left="720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A1AA8"/>
    <w:pPr>
      <w:widowControl w:val="0"/>
      <w:autoSpaceDE w:val="0"/>
      <w:autoSpaceDN w:val="0"/>
      <w:ind w:left="825"/>
    </w:pPr>
    <w:rPr>
      <w:rFonts w:ascii="Calibri" w:eastAsia="Calibri" w:hAnsi="Calibri" w:cs="Calibri"/>
      <w:szCs w:val="22"/>
      <w:lang w:val="en-US" w:eastAsia="en-US"/>
    </w:rPr>
  </w:style>
  <w:style w:type="paragraph" w:styleId="NoSpacing">
    <w:name w:val="No Spacing"/>
    <w:uiPriority w:val="1"/>
    <w:qFormat/>
    <w:rsid w:val="00450075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D0CAA80BCC545AB51FB300C0456C7" ma:contentTypeVersion="13" ma:contentTypeDescription="Create a new document." ma:contentTypeScope="" ma:versionID="daf41f1d1737615912fb271e72618f69">
  <xsd:schema xmlns:xsd="http://www.w3.org/2001/XMLSchema" xmlns:xs="http://www.w3.org/2001/XMLSchema" xmlns:p="http://schemas.microsoft.com/office/2006/metadata/properties" xmlns:ns3="8c26ebdf-7607-4a57-a64e-e5d25fbbc6b2" xmlns:ns4="ffd4c359-16ee-4119-a9be-04e62d58efba" targetNamespace="http://schemas.microsoft.com/office/2006/metadata/properties" ma:root="true" ma:fieldsID="a467d4cd806cd7e334553e76af18b34f" ns3:_="" ns4:_="">
    <xsd:import namespace="8c26ebdf-7607-4a57-a64e-e5d25fbbc6b2"/>
    <xsd:import namespace="ffd4c359-16ee-4119-a9be-04e62d58ef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ebdf-7607-4a57-a64e-e5d25fbbc6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4c359-16ee-4119-a9be-04e62d58e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CF6B4-7618-4884-BEC5-A6CE8B80901B}">
  <ds:schemaRefs>
    <ds:schemaRef ds:uri="http://purl.org/dc/dcmitype/"/>
    <ds:schemaRef ds:uri="8c26ebdf-7607-4a57-a64e-e5d25fbbc6b2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ffd4c359-16ee-4119-a9be-04e62d58efba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E8FFC9-69D0-4E58-AC9E-ACE4ACA08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882DF-F985-487B-BFE7-8C2C741F4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6ebdf-7607-4a57-a64e-e5d25fbbc6b2"/>
    <ds:schemaRef ds:uri="ffd4c359-16ee-4119-a9be-04e62d58e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56D324-9DA9-44CC-8A4E-404814DD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Denise Huggan</cp:lastModifiedBy>
  <cp:revision>4</cp:revision>
  <cp:lastPrinted>2018-02-22T15:49:00Z</cp:lastPrinted>
  <dcterms:created xsi:type="dcterms:W3CDTF">2021-03-17T14:02:00Z</dcterms:created>
  <dcterms:modified xsi:type="dcterms:W3CDTF">2021-03-17T14:05:00Z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0x010100862D0CAA80BCC545AB51FB300C0456C7</vt:lpwstr>
  </property>
</Properties>
</file>