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476" w14:textId="77777777" w:rsidR="00361056" w:rsidRDefault="00CC6031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61E78CE" wp14:editId="1A0D59F8">
            <wp:simplePos x="0" y="0"/>
            <wp:positionH relativeFrom="column">
              <wp:posOffset>316230</wp:posOffset>
            </wp:positionH>
            <wp:positionV relativeFrom="paragraph">
              <wp:posOffset>-768350</wp:posOffset>
            </wp:positionV>
            <wp:extent cx="1836420" cy="648970"/>
            <wp:effectExtent l="19050" t="0" r="0" b="0"/>
            <wp:wrapNone/>
            <wp:docPr id="1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361056" w14:paraId="43B10E97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3872C09" w14:textId="77777777" w:rsidR="00361056" w:rsidRDefault="00361056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361056" w14:paraId="02C5CA4A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A3EB150" w14:textId="619BD91E" w:rsidR="00361056" w:rsidRPr="002D7D2C" w:rsidRDefault="00361056" w:rsidP="00E0598B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A1609">
              <w:rPr>
                <w:rFonts w:ascii="Arial" w:hAnsi="Arial"/>
                <w:sz w:val="20"/>
                <w:szCs w:val="20"/>
              </w:rPr>
              <w:t xml:space="preserve">Lecturer in </w:t>
            </w:r>
            <w:r w:rsidR="00E0598B">
              <w:rPr>
                <w:rFonts w:ascii="Arial" w:hAnsi="Arial" w:cs="Arial"/>
                <w:sz w:val="20"/>
                <w:szCs w:val="20"/>
              </w:rPr>
              <w:t>Quanti</w:t>
            </w:r>
            <w:r w:rsidR="00634047">
              <w:rPr>
                <w:rFonts w:ascii="Arial" w:hAnsi="Arial" w:cs="Arial"/>
                <w:sz w:val="20"/>
                <w:szCs w:val="20"/>
              </w:rPr>
              <w:t>t</w:t>
            </w:r>
            <w:r w:rsidR="00E0598B">
              <w:rPr>
                <w:rFonts w:ascii="Arial" w:hAnsi="Arial" w:cs="Arial"/>
                <w:sz w:val="20"/>
                <w:szCs w:val="20"/>
              </w:rPr>
              <w:t>ative Methods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22250F39" w14:textId="2193C4D5" w:rsidR="00361056" w:rsidRPr="002D7D2C" w:rsidRDefault="00361056" w:rsidP="00E0598B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E0598B">
              <w:rPr>
                <w:rFonts w:ascii="Arial" w:hAnsi="Arial" w:cs="Arial"/>
                <w:sz w:val="20"/>
                <w:szCs w:val="20"/>
              </w:rPr>
              <w:t>Programme Director Fashion Management</w:t>
            </w:r>
          </w:p>
        </w:tc>
      </w:tr>
      <w:tr w:rsidR="00361056" w14:paraId="43530BDA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8EE1E6B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EF26" w14:textId="3910997D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724099">
              <w:rPr>
                <w:rFonts w:ascii="Arial" w:hAnsi="Arial"/>
                <w:sz w:val="20"/>
                <w:szCs w:val="20"/>
              </w:rPr>
              <w:t xml:space="preserve"> 0.6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107485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F5B8E" w:rsidRPr="003F5B8E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361056" w14:paraId="675B9E26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FA757F" w14:textId="56E92A02" w:rsidR="00361056" w:rsidRPr="002D7D2C" w:rsidRDefault="00361056" w:rsidP="004A2D38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3F5B8E" w:rsidRPr="004A2D38">
              <w:rPr>
                <w:rFonts w:ascii="Arial" w:hAnsi="Arial"/>
                <w:sz w:val="20"/>
                <w:szCs w:val="20"/>
              </w:rPr>
              <w:t>£</w:t>
            </w:r>
            <w:r w:rsidR="004A2D38">
              <w:rPr>
                <w:rFonts w:ascii="Arial" w:hAnsi="Arial"/>
                <w:sz w:val="20"/>
                <w:szCs w:val="20"/>
              </w:rPr>
              <w:t xml:space="preserve">37,265 </w:t>
            </w:r>
            <w:r w:rsidR="003F5B8E" w:rsidRPr="004A2D38">
              <w:rPr>
                <w:rFonts w:ascii="Arial" w:hAnsi="Arial"/>
                <w:sz w:val="20"/>
                <w:szCs w:val="20"/>
              </w:rPr>
              <w:t>-</w:t>
            </w:r>
            <w:r w:rsidR="004A2D38"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 w:rsidRPr="004A2D38">
              <w:rPr>
                <w:rFonts w:ascii="Arial" w:hAnsi="Arial"/>
                <w:sz w:val="20"/>
                <w:szCs w:val="20"/>
              </w:rPr>
              <w:t>£</w:t>
            </w:r>
            <w:r w:rsidR="00892A26" w:rsidRPr="004A2D38">
              <w:rPr>
                <w:rFonts w:ascii="Arial" w:hAnsi="Arial"/>
                <w:sz w:val="20"/>
                <w:szCs w:val="20"/>
              </w:rPr>
              <w:t>4</w:t>
            </w:r>
            <w:r w:rsidR="004A2D38">
              <w:rPr>
                <w:rFonts w:ascii="Arial" w:hAnsi="Arial"/>
                <w:sz w:val="20"/>
                <w:szCs w:val="20"/>
              </w:rPr>
              <w:t>4,708</w:t>
            </w:r>
            <w:r w:rsidR="004A4565" w:rsidRPr="004A2D38">
              <w:rPr>
                <w:rFonts w:ascii="Arial" w:hAnsi="Arial"/>
                <w:sz w:val="20"/>
                <w:szCs w:val="20"/>
              </w:rPr>
              <w:t xml:space="preserve"> pa</w:t>
            </w:r>
            <w:r w:rsidR="00724099">
              <w:rPr>
                <w:rFonts w:ascii="Arial" w:hAnsi="Arial"/>
                <w:sz w:val="20"/>
                <w:szCs w:val="20"/>
              </w:rPr>
              <w:t xml:space="preserve"> pro-rata</w:t>
            </w:r>
            <w:bookmarkStart w:id="0" w:name="_GoBack"/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7A7809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361056" w14:paraId="0EDE197E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CF1071" w14:textId="21A5DDE4" w:rsidR="00361056" w:rsidRPr="002D7D2C" w:rsidRDefault="00361056" w:rsidP="002168AD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London College of Fashion/</w:t>
            </w:r>
            <w:r w:rsidR="002168AD">
              <w:rPr>
                <w:rFonts w:ascii="Arial" w:hAnsi="Arial"/>
                <w:sz w:val="20"/>
                <w:szCs w:val="20"/>
              </w:rPr>
              <w:t xml:space="preserve"> Fashion Business Schoo</w:t>
            </w:r>
            <w:r w:rsidR="00D9004E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2B68375" w14:textId="77777777" w:rsidR="00361056" w:rsidRPr="002D7D2C" w:rsidRDefault="00361056" w:rsidP="003F5B8E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272 High Holborn, London, WC1V 7EY</w:t>
            </w:r>
          </w:p>
        </w:tc>
      </w:tr>
      <w:tr w:rsidR="00361056" w14:paraId="25B63DFE" w14:textId="77777777">
        <w:tc>
          <w:tcPr>
            <w:tcW w:w="10440" w:type="dxa"/>
            <w:gridSpan w:val="4"/>
          </w:tcPr>
          <w:p w14:paraId="79849F28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FDABE0F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</w:p>
          <w:p w14:paraId="35BA4175" w14:textId="536D2117" w:rsidR="00361056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1609">
              <w:rPr>
                <w:rFonts w:ascii="Arial" w:hAnsi="Arial" w:cs="Arial"/>
                <w:sz w:val="20"/>
                <w:szCs w:val="20"/>
              </w:rPr>
              <w:t xml:space="preserve">To undertake teaching, unit management, curriculum development and research in </w:t>
            </w:r>
            <w:r w:rsidR="00E0598B">
              <w:rPr>
                <w:rFonts w:ascii="Arial" w:hAnsi="Arial" w:cs="Arial"/>
                <w:sz w:val="20"/>
                <w:szCs w:val="20"/>
              </w:rPr>
              <w:t xml:space="preserve">the broad subject area of quantitative methods. The role will include research methods and use of quantitative analysis techniques </w:t>
            </w:r>
            <w:r w:rsidR="006B38F0">
              <w:rPr>
                <w:rFonts w:ascii="Arial" w:hAnsi="Arial" w:cs="Arial"/>
                <w:sz w:val="20"/>
                <w:szCs w:val="20"/>
              </w:rPr>
              <w:t>across the F</w:t>
            </w:r>
            <w:r w:rsidR="002168AD">
              <w:rPr>
                <w:rFonts w:ascii="Arial" w:hAnsi="Arial" w:cs="Arial"/>
                <w:sz w:val="20"/>
                <w:szCs w:val="20"/>
              </w:rPr>
              <w:t xml:space="preserve">ashion Business School </w:t>
            </w:r>
            <w:r w:rsidR="006B38F0">
              <w:rPr>
                <w:rFonts w:ascii="Arial" w:hAnsi="Arial" w:cs="Arial"/>
                <w:sz w:val="20"/>
                <w:szCs w:val="20"/>
              </w:rPr>
              <w:t>portfolio of undergraduate and postgraduate courses.</w:t>
            </w:r>
          </w:p>
          <w:p w14:paraId="456DF0A8" w14:textId="77777777" w:rsidR="00361056" w:rsidRPr="002D7D2C" w:rsidRDefault="00361056" w:rsidP="00361056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5F7385F8" w14:textId="77777777">
        <w:tc>
          <w:tcPr>
            <w:tcW w:w="10440" w:type="dxa"/>
            <w:gridSpan w:val="4"/>
          </w:tcPr>
          <w:p w14:paraId="5B74EE65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B8660E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2FEA9094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4B9493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33ABFCF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5FDD5990" w14:textId="77777777" w:rsidR="00361056" w:rsidRPr="00B8660E" w:rsidRDefault="006857E7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planning, teaching, assessing, course review and curriculum development.</w:t>
            </w:r>
          </w:p>
          <w:p w14:paraId="49C1E2B2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E22AA65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02EFB578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11168BA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53EB80E3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CBC62BA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14:paraId="32244061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3C695AB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64687F16" w14:textId="77777777" w:rsidR="0044702A" w:rsidRPr="00B8660E" w:rsidRDefault="0044702A">
            <w:pPr>
              <w:pStyle w:val="ColorfulList-Accent11"/>
              <w:rPr>
                <w:rFonts w:ascii="Arial" w:hAnsi="Arial" w:cs="Arial"/>
                <w:sz w:val="20"/>
                <w:szCs w:val="20"/>
              </w:rPr>
            </w:pPr>
          </w:p>
          <w:p w14:paraId="17E05127" w14:textId="497697F0" w:rsidR="00361056" w:rsidRPr="00B8660E" w:rsidRDefault="00724099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th</w:t>
            </w:r>
            <w:r w:rsidR="004E0030">
              <w:rPr>
                <w:rFonts w:ascii="Arial" w:hAnsi="Arial" w:cs="Arial"/>
                <w:sz w:val="20"/>
                <w:szCs w:val="20"/>
              </w:rPr>
              <w:t>e management of the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teaching and as</w:t>
            </w:r>
            <w:r w:rsidR="00996C9F">
              <w:rPr>
                <w:rFonts w:ascii="Arial" w:hAnsi="Arial" w:cs="Arial"/>
                <w:sz w:val="20"/>
                <w:szCs w:val="20"/>
              </w:rPr>
              <w:t xml:space="preserve">sessment in the areas of financial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manag</w:t>
            </w:r>
            <w:r>
              <w:rPr>
                <w:rFonts w:ascii="Arial" w:hAnsi="Arial" w:cs="Arial"/>
                <w:sz w:val="20"/>
                <w:szCs w:val="20"/>
              </w:rPr>
              <w:t>ement &amp;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strategy. </w:t>
            </w:r>
          </w:p>
          <w:p w14:paraId="1395F6B3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8660E" w:rsidDel="006166D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B25E6F9" w14:textId="21BD3F51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 w:rsidR="00D9004E">
              <w:rPr>
                <w:rFonts w:ascii="Arial" w:hAnsi="Arial" w:cs="Arial"/>
                <w:sz w:val="20"/>
                <w:szCs w:val="20"/>
              </w:rPr>
              <w:t>the process of reviewing financial management and financia</w:t>
            </w:r>
            <w:r w:rsidRPr="00B8660E">
              <w:rPr>
                <w:rFonts w:ascii="Arial" w:hAnsi="Arial" w:cs="Arial"/>
                <w:sz w:val="20"/>
                <w:szCs w:val="20"/>
              </w:rPr>
              <w:t>l strategy</w:t>
            </w:r>
            <w:r w:rsidRPr="00B8660E" w:rsidDel="0061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60E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</w:t>
            </w:r>
            <w:r w:rsidR="006F428F">
              <w:rPr>
                <w:rFonts w:ascii="Arial" w:hAnsi="Arial" w:cs="Arial"/>
                <w:sz w:val="20"/>
                <w:szCs w:val="20"/>
              </w:rPr>
              <w:t xml:space="preserve"> and embedding </w:t>
            </w:r>
            <w:r w:rsidR="00724099">
              <w:rPr>
                <w:rFonts w:ascii="Arial" w:hAnsi="Arial" w:cs="Arial"/>
                <w:sz w:val="20"/>
                <w:szCs w:val="20"/>
              </w:rPr>
              <w:t>professional body accreditation</w:t>
            </w:r>
            <w:r w:rsidRPr="00B866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1AD644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89AD9A0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lastRenderedPageBreak/>
              <w:t>To fully utilise University and other information and communication technologies in order to facilitate and enhance students’ learning experiences and organisational effectiveness.</w:t>
            </w:r>
          </w:p>
          <w:p w14:paraId="279BB0C2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D8CFF4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14:paraId="0AAE9671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6CE1583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857E7">
              <w:rPr>
                <w:rFonts w:ascii="Arial" w:hAnsi="Arial" w:cs="Arial"/>
                <w:sz w:val="20"/>
                <w:szCs w:val="20"/>
              </w:rPr>
              <w:t>support the Course Leaders in undertaking general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course management responsibilities including assessment, </w:t>
            </w:r>
            <w:r w:rsidR="006857E7">
              <w:rPr>
                <w:rFonts w:ascii="Arial" w:hAnsi="Arial" w:cs="Arial"/>
                <w:sz w:val="20"/>
                <w:szCs w:val="20"/>
              </w:rPr>
              <w:t>recruitment and admissions.</w:t>
            </w:r>
          </w:p>
          <w:p w14:paraId="0B1C1FBB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F9F3F1" w14:textId="2E10AEF1" w:rsidR="00361056" w:rsidRPr="00B8660E" w:rsidRDefault="004E0030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liaise with Course Leaders and Hourly Paid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Lecturers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ensure quality and consistency of delivery across all courses.</w:t>
            </w:r>
          </w:p>
          <w:p w14:paraId="2010486F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782AC" w14:textId="4E473A31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the Course Leader</w:t>
            </w:r>
            <w:r w:rsidR="006B38F0">
              <w:rPr>
                <w:rFonts w:ascii="Arial" w:hAnsi="Arial" w:cs="Arial"/>
                <w:sz w:val="20"/>
                <w:szCs w:val="20"/>
              </w:rPr>
              <w:t>s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curriculum and teaching programme for </w:t>
            </w:r>
            <w:r w:rsidR="00D9004E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6B38F0">
              <w:rPr>
                <w:rFonts w:ascii="Arial" w:hAnsi="Arial" w:cs="Arial"/>
                <w:sz w:val="20"/>
                <w:szCs w:val="20"/>
              </w:rPr>
              <w:t>management</w:t>
            </w:r>
            <w:r w:rsidR="004E0030">
              <w:rPr>
                <w:rFonts w:ascii="Arial" w:hAnsi="Arial" w:cs="Arial"/>
                <w:sz w:val="20"/>
                <w:szCs w:val="20"/>
              </w:rPr>
              <w:t xml:space="preserve"> and strategy.</w:t>
            </w:r>
          </w:p>
          <w:p w14:paraId="3A1CCABD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9A8EB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Undertake planned internal verification of assessments, providing feedback and guidance on best practice to tutors.</w:t>
            </w:r>
          </w:p>
          <w:p w14:paraId="2D6235C9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62D1F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Secure productive contacts and links with external organisations, employers and agencies that will benefit students on and provide further opportunities for income generation and sponsorship.</w:t>
            </w:r>
          </w:p>
          <w:p w14:paraId="06EDD495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011531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14:paraId="5D96FA6D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120ABB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43326753" w14:textId="77777777" w:rsidR="00361056" w:rsidRPr="00B8660E" w:rsidRDefault="00361056" w:rsidP="003610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B2A840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03ED9BE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3DCE4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56BDF217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3F56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continuous persona</w:t>
            </w:r>
            <w:r w:rsidR="006B38F0">
              <w:rPr>
                <w:rFonts w:ascii="Arial" w:hAnsi="Arial" w:cs="Arial"/>
                <w:sz w:val="20"/>
                <w:szCs w:val="20"/>
              </w:rPr>
              <w:t xml:space="preserve">l and professional development </w:t>
            </w:r>
            <w:r w:rsidRPr="00B8660E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opportunities.</w:t>
            </w:r>
          </w:p>
          <w:p w14:paraId="41739E0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7ACC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8660E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8660E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4E0A9350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24E8A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674BBBE1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34993206" w14:textId="77777777">
        <w:trPr>
          <w:trHeight w:val="1252"/>
        </w:trPr>
        <w:tc>
          <w:tcPr>
            <w:tcW w:w="10440" w:type="dxa"/>
            <w:gridSpan w:val="4"/>
          </w:tcPr>
          <w:p w14:paraId="6DE77620" w14:textId="77777777" w:rsidR="00361056" w:rsidRDefault="00361056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A2BB807" w14:textId="20D8F81C" w:rsidR="00724099" w:rsidRPr="00724099" w:rsidRDefault="00724099" w:rsidP="001956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B8D34" w14:textId="28E3E2F5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7240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Fashion Management</w:t>
            </w:r>
            <w:r w:rsidR="00724099">
              <w:rPr>
                <w:rFonts w:ascii="Arial" w:hAnsi="Arial" w:cs="Arial"/>
                <w:sz w:val="20"/>
                <w:szCs w:val="20"/>
              </w:rPr>
              <w:t xml:space="preserve"> &amp; Fashion Business</w:t>
            </w:r>
          </w:p>
          <w:p w14:paraId="4754ED2A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&amp; Postgraduate Course Leaders</w:t>
            </w:r>
          </w:p>
          <w:p w14:paraId="3EB31181" w14:textId="7BD686E2" w:rsidR="001956F9" w:rsidRDefault="001956F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Lecturing teams in Fashion Management &amp; Fashion Business</w:t>
            </w:r>
          </w:p>
          <w:p w14:paraId="201B45F7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Administration Team</w:t>
            </w:r>
          </w:p>
          <w:p w14:paraId="5157E92D" w14:textId="52F5198C" w:rsidR="00361056" w:rsidRPr="00094A50" w:rsidRDefault="005379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99B">
              <w:rPr>
                <w:rFonts w:ascii="Arial" w:hAnsi="Arial" w:cs="Arial"/>
                <w:sz w:val="20"/>
                <w:szCs w:val="20"/>
              </w:rPr>
              <w:t>Site Administrator</w:t>
            </w:r>
          </w:p>
        </w:tc>
      </w:tr>
      <w:tr w:rsidR="00361056" w14:paraId="35A8FFBC" w14:textId="77777777">
        <w:tc>
          <w:tcPr>
            <w:tcW w:w="10440" w:type="dxa"/>
            <w:gridSpan w:val="4"/>
          </w:tcPr>
          <w:p w14:paraId="7420DF60" w14:textId="77777777" w:rsidR="00361056" w:rsidRPr="004879C9" w:rsidRDefault="00361056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C2665D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581E3F53" w14:textId="77777777" w:rsidR="00361056" w:rsidRDefault="00361056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 None</w:t>
            </w:r>
          </w:p>
          <w:p w14:paraId="1B7038E8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3B43E962" w14:textId="77777777" w:rsidR="00361056" w:rsidRDefault="00361056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 None</w:t>
            </w:r>
          </w:p>
          <w:p w14:paraId="375D2AE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0C445CCE" w14:textId="77777777" w:rsidR="00361056" w:rsidRDefault="00361056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 None</w:t>
            </w:r>
          </w:p>
        </w:tc>
      </w:tr>
    </w:tbl>
    <w:p w14:paraId="2F67B247" w14:textId="77777777" w:rsidR="00361056" w:rsidRDefault="00361056">
      <w:pPr>
        <w:rPr>
          <w:rFonts w:ascii="Arial" w:hAnsi="Arial"/>
          <w:b/>
          <w:sz w:val="20"/>
        </w:rPr>
      </w:pPr>
    </w:p>
    <w:p w14:paraId="382F259C" w14:textId="77777777" w:rsidR="00361056" w:rsidRDefault="00361056">
      <w:pPr>
        <w:rPr>
          <w:rFonts w:ascii="Arial" w:hAnsi="Arial"/>
          <w:b/>
          <w:sz w:val="20"/>
        </w:rPr>
      </w:pPr>
    </w:p>
    <w:p w14:paraId="03C2A705" w14:textId="77777777" w:rsidR="00361056" w:rsidRDefault="00361056">
      <w:pPr>
        <w:rPr>
          <w:rFonts w:ascii="Arial" w:hAnsi="Arial"/>
          <w:b/>
          <w:sz w:val="20"/>
        </w:rPr>
      </w:pPr>
    </w:p>
    <w:p w14:paraId="5D8E1A05" w14:textId="6DC95262" w:rsidR="00361056" w:rsidRDefault="003610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9B0E22">
        <w:rPr>
          <w:rFonts w:ascii="Arial" w:hAnsi="Arial"/>
          <w:sz w:val="20"/>
          <w:u w:val="single"/>
        </w:rPr>
        <w:t>Matteo Montecchi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9B0E22">
        <w:rPr>
          <w:rFonts w:ascii="Arial" w:hAnsi="Arial"/>
          <w:sz w:val="20"/>
          <w:u w:val="single"/>
        </w:rPr>
        <w:t>16/10/2017</w:t>
      </w:r>
      <w:r>
        <w:rPr>
          <w:rFonts w:ascii="Arial" w:hAnsi="Arial"/>
          <w:sz w:val="20"/>
          <w:u w:val="single"/>
        </w:rPr>
        <w:tab/>
      </w:r>
    </w:p>
    <w:p w14:paraId="2F891C4A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A0F20FE" w14:textId="77777777" w:rsidR="00361056" w:rsidRDefault="00361056">
      <w:pPr>
        <w:pStyle w:val="BodyText2"/>
        <w:rPr>
          <w:rFonts w:cs="Times New Roman"/>
        </w:rPr>
      </w:pPr>
    </w:p>
    <w:p w14:paraId="71718F81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br w:type="page"/>
      </w:r>
    </w:p>
    <w:p w14:paraId="2C9B42E6" w14:textId="3F338AF9" w:rsidR="00C102F6" w:rsidRDefault="00C102F6" w:rsidP="00996C9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634047">
        <w:rPr>
          <w:rFonts w:ascii="Arial" w:hAnsi="Arial" w:cs="Arial"/>
          <w:b/>
          <w:sz w:val="28"/>
          <w:szCs w:val="28"/>
        </w:rPr>
        <w:t xml:space="preserve">0.6 </w:t>
      </w:r>
      <w:r w:rsidRPr="00C102F6">
        <w:rPr>
          <w:rFonts w:ascii="Arial" w:hAnsi="Arial"/>
          <w:b/>
          <w:sz w:val="28"/>
          <w:szCs w:val="28"/>
        </w:rPr>
        <w:t xml:space="preserve">Lecturer in </w:t>
      </w:r>
      <w:r w:rsidR="00634047">
        <w:rPr>
          <w:rFonts w:ascii="Arial" w:hAnsi="Arial" w:cs="Arial"/>
          <w:b/>
          <w:sz w:val="28"/>
          <w:szCs w:val="28"/>
        </w:rPr>
        <w:t>Quantitative Methods</w:t>
      </w:r>
    </w:p>
    <w:p w14:paraId="5B622EEB" w14:textId="77777777" w:rsidR="00C102F6" w:rsidRDefault="00C102F6" w:rsidP="00996C9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7621"/>
      </w:tblGrid>
      <w:tr w:rsidR="00C102F6" w14:paraId="308121B9" w14:textId="77777777" w:rsidTr="006857E7">
        <w:trPr>
          <w:trHeight w:val="410"/>
        </w:trPr>
        <w:tc>
          <w:tcPr>
            <w:tcW w:w="10343" w:type="dxa"/>
            <w:gridSpan w:val="2"/>
            <w:shd w:val="clear" w:color="auto" w:fill="000000" w:themeFill="text1"/>
          </w:tcPr>
          <w:p w14:paraId="60AEE481" w14:textId="77777777" w:rsidR="00C102F6" w:rsidRPr="00837A31" w:rsidRDefault="00C102F6" w:rsidP="00F30760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6857E7" w:rsidRPr="006857E7" w14:paraId="63083335" w14:textId="77777777" w:rsidTr="006857E7">
        <w:tc>
          <w:tcPr>
            <w:tcW w:w="2722" w:type="dxa"/>
          </w:tcPr>
          <w:p w14:paraId="64F78F85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0849CEF1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Specialist Knowledge/</w:t>
            </w:r>
          </w:p>
          <w:p w14:paraId="12949D10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Qualifications</w:t>
            </w:r>
          </w:p>
        </w:tc>
        <w:tc>
          <w:tcPr>
            <w:tcW w:w="7621" w:type="dxa"/>
          </w:tcPr>
          <w:p w14:paraId="6A5A3A6A" w14:textId="77777777" w:rsidR="006B38F0" w:rsidRPr="006857E7" w:rsidRDefault="006B38F0" w:rsidP="002C6AA6">
            <w:pPr>
              <w:pBdr>
                <w:bottom w:val="single" w:sz="4" w:space="1" w:color="auto"/>
              </w:pBdr>
              <w:spacing w:line="240" w:lineRule="atLeast"/>
              <w:rPr>
                <w:rFonts w:asciiTheme="majorHAnsi" w:hAnsiTheme="majorHAnsi" w:cs="Arial"/>
                <w:szCs w:val="22"/>
              </w:rPr>
            </w:pPr>
          </w:p>
          <w:p w14:paraId="385D791F" w14:textId="549A55FF" w:rsidR="009B0E22" w:rsidRDefault="00FD590B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Master’s</w:t>
            </w:r>
            <w:r w:rsidR="006B38F0" w:rsidRPr="006857E7">
              <w:rPr>
                <w:rFonts w:ascii="Arial" w:hAnsi="Arial" w:cs="Arial"/>
                <w:szCs w:val="22"/>
              </w:rPr>
              <w:t xml:space="preserve"> </w:t>
            </w:r>
            <w:r w:rsidR="009B0E22">
              <w:rPr>
                <w:rFonts w:ascii="Arial" w:hAnsi="Arial" w:cs="Arial"/>
                <w:szCs w:val="22"/>
              </w:rPr>
              <w:t xml:space="preserve">degree </w:t>
            </w:r>
            <w:r w:rsidR="00D9004E">
              <w:rPr>
                <w:rFonts w:ascii="Arial" w:hAnsi="Arial" w:cs="Arial"/>
                <w:szCs w:val="22"/>
              </w:rPr>
              <w:t xml:space="preserve">in </w:t>
            </w:r>
            <w:r w:rsidR="00634047">
              <w:rPr>
                <w:rFonts w:ascii="Arial" w:hAnsi="Arial" w:cs="Arial"/>
                <w:szCs w:val="22"/>
              </w:rPr>
              <w:t>a relevant subject</w:t>
            </w:r>
            <w:r>
              <w:rPr>
                <w:rFonts w:ascii="Arial" w:hAnsi="Arial" w:cs="Arial"/>
                <w:szCs w:val="22"/>
              </w:rPr>
              <w:t xml:space="preserve"> area</w:t>
            </w:r>
            <w:r w:rsidR="00634047">
              <w:rPr>
                <w:rFonts w:ascii="Arial" w:hAnsi="Arial" w:cs="Arial"/>
                <w:szCs w:val="22"/>
              </w:rPr>
              <w:t xml:space="preserve"> with significant competence in </w:t>
            </w:r>
            <w:r w:rsidR="009B0E22">
              <w:rPr>
                <w:rFonts w:ascii="Arial" w:hAnsi="Arial" w:cs="Arial"/>
                <w:szCs w:val="22"/>
              </w:rPr>
              <w:t xml:space="preserve">quantitative </w:t>
            </w:r>
            <w:r w:rsidR="00634047">
              <w:rPr>
                <w:rFonts w:ascii="Arial" w:hAnsi="Arial" w:cs="Arial"/>
                <w:szCs w:val="22"/>
              </w:rPr>
              <w:t xml:space="preserve">data </w:t>
            </w:r>
            <w:r w:rsidR="00432E17">
              <w:rPr>
                <w:rFonts w:ascii="Arial" w:hAnsi="Arial" w:cs="Arial"/>
                <w:szCs w:val="22"/>
              </w:rPr>
              <w:t>analysis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9B0E22">
              <w:rPr>
                <w:rFonts w:ascii="Arial" w:hAnsi="Arial" w:cs="Arial"/>
                <w:szCs w:val="22"/>
              </w:rPr>
              <w:t xml:space="preserve">is essential. </w:t>
            </w:r>
          </w:p>
          <w:p w14:paraId="11C5B4BA" w14:textId="77777777" w:rsidR="009B0E22" w:rsidRDefault="009B0E22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26610763" w14:textId="1F33789B" w:rsidR="008C6DD8" w:rsidRDefault="009B0E22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PhD in a relevant subject </w:t>
            </w:r>
            <w:r w:rsidR="00FE5E48">
              <w:rPr>
                <w:rFonts w:ascii="Arial" w:hAnsi="Arial" w:cs="Arial"/>
                <w:szCs w:val="22"/>
              </w:rPr>
              <w:t xml:space="preserve">area </w:t>
            </w:r>
            <w:r>
              <w:rPr>
                <w:rFonts w:ascii="Arial" w:hAnsi="Arial" w:cs="Arial"/>
                <w:szCs w:val="22"/>
              </w:rPr>
              <w:t>is desirable.</w:t>
            </w:r>
          </w:p>
          <w:p w14:paraId="1DB14BC5" w14:textId="77777777" w:rsidR="006B38F0" w:rsidRPr="006857E7" w:rsidRDefault="006B38F0" w:rsidP="000578DC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0938346E" w14:textId="554FEBB4" w:rsidR="008C6DD8" w:rsidRPr="006857E7" w:rsidRDefault="006B38F0" w:rsidP="002C6AA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Relevant professional experience recognised by me</w:t>
            </w:r>
            <w:r w:rsidR="00D9004E">
              <w:rPr>
                <w:rFonts w:ascii="Arial" w:hAnsi="Arial" w:cs="Arial"/>
                <w:szCs w:val="22"/>
              </w:rPr>
              <w:t>mbership of a professional body (</w:t>
            </w:r>
            <w:proofErr w:type="spellStart"/>
            <w:r w:rsidR="00724099">
              <w:rPr>
                <w:rFonts w:ascii="Arial" w:hAnsi="Arial" w:cs="Arial"/>
                <w:szCs w:val="22"/>
              </w:rPr>
              <w:t>e.g</w:t>
            </w:r>
            <w:proofErr w:type="spellEnd"/>
            <w:r w:rsidR="00724099">
              <w:rPr>
                <w:rFonts w:ascii="Arial" w:hAnsi="Arial" w:cs="Arial"/>
                <w:szCs w:val="22"/>
              </w:rPr>
              <w:t xml:space="preserve"> </w:t>
            </w:r>
            <w:r w:rsidR="00D9004E">
              <w:rPr>
                <w:rFonts w:ascii="Arial" w:hAnsi="Arial" w:cs="Arial"/>
                <w:szCs w:val="22"/>
              </w:rPr>
              <w:t>ACA/ CIMA/ ACCA/ CIPFA</w:t>
            </w:r>
            <w:r w:rsidR="00724099">
              <w:rPr>
                <w:rFonts w:ascii="Arial" w:hAnsi="Arial" w:cs="Arial"/>
                <w:szCs w:val="22"/>
              </w:rPr>
              <w:t>/ CMI</w:t>
            </w:r>
            <w:r w:rsidR="00EA279B">
              <w:rPr>
                <w:rFonts w:ascii="Arial" w:hAnsi="Arial" w:cs="Arial"/>
                <w:szCs w:val="22"/>
              </w:rPr>
              <w:t xml:space="preserve">) is desirable. </w:t>
            </w:r>
          </w:p>
          <w:p w14:paraId="73651DE1" w14:textId="77777777" w:rsidR="008C6DD8" w:rsidRPr="006857E7" w:rsidRDefault="008C6DD8" w:rsidP="000578DC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2CE83363" w14:textId="76124E1A" w:rsidR="006B38F0" w:rsidRPr="006857E7" w:rsidRDefault="004E0030" w:rsidP="00EA279B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Teaching qualification/ </w:t>
            </w:r>
            <w:r w:rsidR="006B38F0" w:rsidRPr="006857E7">
              <w:rPr>
                <w:rFonts w:ascii="Arial" w:hAnsi="Arial" w:cs="Arial"/>
                <w:szCs w:val="22"/>
              </w:rPr>
              <w:t xml:space="preserve">Fellowship of the HEA </w:t>
            </w:r>
            <w:r w:rsidR="00EA279B">
              <w:rPr>
                <w:rFonts w:ascii="Arial" w:hAnsi="Arial" w:cs="Arial"/>
                <w:szCs w:val="22"/>
              </w:rPr>
              <w:t xml:space="preserve">is desirable. </w:t>
            </w:r>
          </w:p>
        </w:tc>
      </w:tr>
      <w:tr w:rsidR="006857E7" w:rsidRPr="006857E7" w14:paraId="12A5F5B0" w14:textId="77777777" w:rsidTr="006857E7">
        <w:tc>
          <w:tcPr>
            <w:tcW w:w="2722" w:type="dxa"/>
          </w:tcPr>
          <w:p w14:paraId="4CA154B7" w14:textId="74FC6543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643BCFDD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7621" w:type="dxa"/>
          </w:tcPr>
          <w:p w14:paraId="65A233E4" w14:textId="77777777" w:rsidR="006B38F0" w:rsidRPr="006857E7" w:rsidRDefault="006B38F0" w:rsidP="00F30760">
            <w:pPr>
              <w:rPr>
                <w:rFonts w:ascii="Arial" w:hAnsi="Arial" w:cs="Arial"/>
                <w:i/>
                <w:szCs w:val="22"/>
              </w:rPr>
            </w:pPr>
          </w:p>
          <w:p w14:paraId="18B22020" w14:textId="628BC066" w:rsidR="0029711E" w:rsidRDefault="008C6DD8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8C6DD8">
              <w:rPr>
                <w:rFonts w:ascii="Arial" w:hAnsi="Arial" w:cs="Arial"/>
                <w:szCs w:val="22"/>
              </w:rPr>
              <w:t>E</w:t>
            </w:r>
            <w:r w:rsidR="0029711E" w:rsidRPr="000578DC">
              <w:rPr>
                <w:rFonts w:ascii="Arial" w:hAnsi="Arial" w:cs="Arial"/>
                <w:szCs w:val="22"/>
              </w:rPr>
              <w:t>xperience of working with data either in a financial/statistical business environment or through experience in quantitative research is essential.</w:t>
            </w:r>
          </w:p>
          <w:p w14:paraId="18672499" w14:textId="77777777" w:rsidR="00432E17" w:rsidRDefault="00432E17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7809247D" w14:textId="493A65BD" w:rsidR="00432E17" w:rsidRPr="00FD590B" w:rsidRDefault="00432E17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working knowledge of SPSS is essential.</w:t>
            </w:r>
          </w:p>
          <w:p w14:paraId="04873702" w14:textId="77777777" w:rsidR="0029711E" w:rsidRDefault="0029711E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3151ABEF" w14:textId="374B22FF" w:rsidR="00B760A5" w:rsidRDefault="00B760A5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 teaching experience</w:t>
            </w:r>
            <w:r w:rsidR="0002577D">
              <w:rPr>
                <w:rFonts w:ascii="Arial" w:hAnsi="Arial" w:cs="Arial"/>
                <w:szCs w:val="22"/>
              </w:rPr>
              <w:t xml:space="preserve"> </w:t>
            </w:r>
            <w:r w:rsidR="00FE5E48">
              <w:rPr>
                <w:rFonts w:ascii="Arial" w:hAnsi="Arial" w:cs="Arial"/>
                <w:szCs w:val="22"/>
              </w:rPr>
              <w:t>(</w:t>
            </w:r>
            <w:r w:rsidR="00D8048D">
              <w:rPr>
                <w:rFonts w:ascii="Arial" w:hAnsi="Arial" w:cs="Arial"/>
                <w:szCs w:val="22"/>
              </w:rPr>
              <w:t>e.g.</w:t>
            </w:r>
            <w:r w:rsidR="00FE5E48">
              <w:rPr>
                <w:rFonts w:ascii="Arial" w:hAnsi="Arial" w:cs="Arial"/>
                <w:szCs w:val="22"/>
              </w:rPr>
              <w:t xml:space="preserve"> </w:t>
            </w:r>
            <w:r w:rsidR="0002577D">
              <w:rPr>
                <w:rFonts w:ascii="Arial" w:hAnsi="Arial" w:cs="Arial"/>
                <w:szCs w:val="22"/>
              </w:rPr>
              <w:t>quantitat</w:t>
            </w:r>
            <w:r w:rsidR="00FE5E48">
              <w:rPr>
                <w:rFonts w:ascii="Arial" w:hAnsi="Arial" w:cs="Arial"/>
                <w:szCs w:val="22"/>
              </w:rPr>
              <w:t>ive methods, research methods, marketing research)</w:t>
            </w:r>
            <w:r w:rsidR="0002577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at undergraduate level is essential.</w:t>
            </w:r>
          </w:p>
          <w:p w14:paraId="4A24B51C" w14:textId="253DBEBA" w:rsidR="00B760A5" w:rsidRDefault="00B760A5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1EE74C54" w14:textId="588A6BAC" w:rsidR="00B760A5" w:rsidRDefault="00B760A5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 teaching experience</w:t>
            </w:r>
            <w:r w:rsidR="00FE5E48">
              <w:rPr>
                <w:rFonts w:ascii="Arial" w:hAnsi="Arial" w:cs="Arial"/>
                <w:szCs w:val="22"/>
              </w:rPr>
              <w:t xml:space="preserve"> (</w:t>
            </w:r>
            <w:r w:rsidR="00D8048D">
              <w:rPr>
                <w:rFonts w:ascii="Arial" w:hAnsi="Arial" w:cs="Arial"/>
                <w:szCs w:val="22"/>
              </w:rPr>
              <w:t>e.g.</w:t>
            </w:r>
            <w:r w:rsidR="00FE5E48">
              <w:rPr>
                <w:rFonts w:ascii="Arial" w:hAnsi="Arial" w:cs="Arial"/>
                <w:szCs w:val="22"/>
              </w:rPr>
              <w:t xml:space="preserve"> quantitative methods, research methods, marketing research)</w:t>
            </w:r>
            <w:r>
              <w:rPr>
                <w:rFonts w:ascii="Arial" w:hAnsi="Arial" w:cs="Arial"/>
                <w:szCs w:val="22"/>
              </w:rPr>
              <w:t xml:space="preserve"> at postgraduate level is desirable. </w:t>
            </w:r>
          </w:p>
          <w:p w14:paraId="7D44C55D" w14:textId="77777777" w:rsidR="00B760A5" w:rsidRDefault="00B760A5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1AAD8D2B" w14:textId="428AD6EA" w:rsidR="006B38F0" w:rsidRPr="006857E7" w:rsidRDefault="006B38F0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Evidence of research and publications in </w:t>
            </w:r>
            <w:r w:rsidR="00634047">
              <w:rPr>
                <w:rFonts w:ascii="Arial" w:hAnsi="Arial" w:cs="Arial"/>
                <w:szCs w:val="22"/>
              </w:rPr>
              <w:t xml:space="preserve">a relevant subject area demonstrating competence in </w:t>
            </w:r>
            <w:r w:rsidR="0002577D">
              <w:rPr>
                <w:rFonts w:ascii="Arial" w:hAnsi="Arial" w:cs="Arial"/>
                <w:szCs w:val="22"/>
              </w:rPr>
              <w:t xml:space="preserve">quantitative </w:t>
            </w:r>
            <w:r w:rsidR="00634047">
              <w:rPr>
                <w:rFonts w:ascii="Arial" w:hAnsi="Arial" w:cs="Arial"/>
                <w:szCs w:val="22"/>
              </w:rPr>
              <w:t>data analysis</w:t>
            </w:r>
            <w:r w:rsidR="0002577D">
              <w:rPr>
                <w:rFonts w:ascii="Arial" w:hAnsi="Arial" w:cs="Arial"/>
                <w:szCs w:val="22"/>
              </w:rPr>
              <w:t xml:space="preserve"> </w:t>
            </w:r>
            <w:r w:rsidR="00EA279B">
              <w:rPr>
                <w:rFonts w:ascii="Arial" w:hAnsi="Arial" w:cs="Arial"/>
                <w:szCs w:val="22"/>
              </w:rPr>
              <w:t xml:space="preserve">is desirable. </w:t>
            </w:r>
          </w:p>
          <w:p w14:paraId="5495D1FF" w14:textId="77777777" w:rsidR="006857E7" w:rsidRPr="006857E7" w:rsidRDefault="006857E7" w:rsidP="00FD590B">
            <w:pPr>
              <w:rPr>
                <w:rFonts w:ascii="Arial" w:hAnsi="Arial" w:cs="Arial"/>
                <w:szCs w:val="22"/>
              </w:rPr>
            </w:pPr>
          </w:p>
        </w:tc>
      </w:tr>
      <w:tr w:rsidR="006857E7" w:rsidRPr="006857E7" w14:paraId="608E08AE" w14:textId="77777777" w:rsidTr="006857E7">
        <w:tc>
          <w:tcPr>
            <w:tcW w:w="2722" w:type="dxa"/>
            <w:vAlign w:val="center"/>
          </w:tcPr>
          <w:p w14:paraId="03CF1072" w14:textId="2A67EDC9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7621" w:type="dxa"/>
            <w:vAlign w:val="center"/>
          </w:tcPr>
          <w:p w14:paraId="39B69F0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DFFE9E6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Communicates effectively orally and in writing adapting the message for a diverse audience in an inclusive and accessible way</w:t>
            </w:r>
          </w:p>
          <w:p w14:paraId="4DBCD6EC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5BE6E73C" w14:textId="77777777" w:rsidTr="006857E7">
        <w:tc>
          <w:tcPr>
            <w:tcW w:w="2722" w:type="dxa"/>
            <w:vAlign w:val="center"/>
          </w:tcPr>
          <w:p w14:paraId="43EFD919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7621" w:type="dxa"/>
            <w:vAlign w:val="center"/>
          </w:tcPr>
          <w:p w14:paraId="63685E6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5FAC32D" w14:textId="18637000" w:rsidR="006B38F0" w:rsidRPr="006857E7" w:rsidRDefault="00724099" w:rsidP="00F30760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Works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 xml:space="preserve"> effectively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within a team and as an individual to achieve set objectives</w:t>
            </w:r>
          </w:p>
          <w:p w14:paraId="701E77CD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4F0C82E3" w14:textId="77777777" w:rsidTr="006857E7">
        <w:trPr>
          <w:trHeight w:val="968"/>
        </w:trPr>
        <w:tc>
          <w:tcPr>
            <w:tcW w:w="2722" w:type="dxa"/>
            <w:vMerge w:val="restart"/>
            <w:vAlign w:val="center"/>
          </w:tcPr>
          <w:p w14:paraId="4441DB10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lastRenderedPageBreak/>
              <w:t>Research, Teaching and Learning</w:t>
            </w:r>
          </w:p>
        </w:tc>
        <w:tc>
          <w:tcPr>
            <w:tcW w:w="7621" w:type="dxa"/>
            <w:vAlign w:val="center"/>
          </w:tcPr>
          <w:p w14:paraId="2D7DCEBA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E708E36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Applies innovative approaches in teaching, learning or professional practice to support excellent teaching, pedagogy and inclusivity</w:t>
            </w:r>
          </w:p>
        </w:tc>
      </w:tr>
      <w:tr w:rsidR="006857E7" w:rsidRPr="006857E7" w14:paraId="40DBA6B5" w14:textId="77777777" w:rsidTr="006857E7">
        <w:trPr>
          <w:trHeight w:val="967"/>
        </w:trPr>
        <w:tc>
          <w:tcPr>
            <w:tcW w:w="2722" w:type="dxa"/>
            <w:vMerge/>
            <w:vAlign w:val="center"/>
          </w:tcPr>
          <w:p w14:paraId="2E060D11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621" w:type="dxa"/>
            <w:vAlign w:val="center"/>
          </w:tcPr>
          <w:p w14:paraId="39300D68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37F2C85" w14:textId="77777777" w:rsidR="006B38F0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 xml:space="preserve">Applies 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>own research to develop learning and assessment practice</w:t>
            </w:r>
          </w:p>
        </w:tc>
      </w:tr>
      <w:tr w:rsidR="006857E7" w:rsidRPr="006857E7" w14:paraId="231137CF" w14:textId="77777777" w:rsidTr="006857E7">
        <w:tc>
          <w:tcPr>
            <w:tcW w:w="2722" w:type="dxa"/>
            <w:vAlign w:val="center"/>
          </w:tcPr>
          <w:p w14:paraId="45975707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Professional Practice </w:t>
            </w:r>
          </w:p>
        </w:tc>
        <w:tc>
          <w:tcPr>
            <w:tcW w:w="7621" w:type="dxa"/>
            <w:vAlign w:val="center"/>
          </w:tcPr>
          <w:p w14:paraId="59F28940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88830B2" w14:textId="0093DD06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Contributes to advancing professional practice/research or scholarly</w:t>
            </w:r>
            <w:r w:rsidR="00996C9F">
              <w:rPr>
                <w:rFonts w:ascii="Arial" w:hAnsi="Arial" w:cs="Arial"/>
                <w:color w:val="000000"/>
                <w:szCs w:val="22"/>
              </w:rPr>
              <w:t xml:space="preserve"> activity in the area of </w:t>
            </w:r>
            <w:r w:rsidR="00634047">
              <w:rPr>
                <w:rFonts w:ascii="Arial" w:hAnsi="Arial" w:cs="Arial"/>
                <w:szCs w:val="22"/>
              </w:rPr>
              <w:t>data analysis/ statistical techniques.</w:t>
            </w:r>
          </w:p>
          <w:p w14:paraId="2BC0EB57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73E513D4" w14:textId="77777777" w:rsidTr="006857E7">
        <w:tc>
          <w:tcPr>
            <w:tcW w:w="2722" w:type="dxa"/>
            <w:vAlign w:val="center"/>
          </w:tcPr>
          <w:p w14:paraId="6696B373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7621" w:type="dxa"/>
            <w:vAlign w:val="center"/>
          </w:tcPr>
          <w:p w14:paraId="3E6F25E8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90E1B0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Plans, prioritises and manages resources effectively to achieve long term objectives</w:t>
            </w:r>
          </w:p>
          <w:p w14:paraId="3D2FF55F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574AB300" w14:textId="77777777" w:rsidTr="006857E7">
        <w:trPr>
          <w:trHeight w:val="874"/>
        </w:trPr>
        <w:tc>
          <w:tcPr>
            <w:tcW w:w="2722" w:type="dxa"/>
            <w:vAlign w:val="center"/>
          </w:tcPr>
          <w:p w14:paraId="36368F72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7621" w:type="dxa"/>
            <w:vAlign w:val="center"/>
          </w:tcPr>
          <w:p w14:paraId="6629E3C0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701326B2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14:paraId="7E742E55" w14:textId="77777777" w:rsid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9C074B9" w14:textId="77777777" w:rsidR="00FD590B" w:rsidRPr="006857E7" w:rsidRDefault="00FD590B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3C8A1E2B" w14:textId="77777777" w:rsidTr="006857E7">
        <w:tc>
          <w:tcPr>
            <w:tcW w:w="2722" w:type="dxa"/>
            <w:vAlign w:val="center"/>
          </w:tcPr>
          <w:p w14:paraId="67C1E003" w14:textId="77777777" w:rsidR="006B38F0" w:rsidRPr="006857E7" w:rsidRDefault="006B38F0" w:rsidP="006857E7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Student experience </w:t>
            </w:r>
          </w:p>
        </w:tc>
        <w:tc>
          <w:tcPr>
            <w:tcW w:w="7621" w:type="dxa"/>
            <w:vAlign w:val="center"/>
          </w:tcPr>
          <w:p w14:paraId="13BBCB34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66F43E3" w14:textId="77777777" w:rsidR="006B38F0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 xml:space="preserve">Builds and maintains 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>positive relation</w:t>
            </w:r>
            <w:r w:rsidRPr="006857E7">
              <w:rPr>
                <w:rFonts w:ascii="Arial" w:hAnsi="Arial" w:cs="Arial"/>
                <w:color w:val="000000"/>
                <w:szCs w:val="22"/>
              </w:rPr>
              <w:t>ships with students</w:t>
            </w:r>
          </w:p>
          <w:p w14:paraId="158C2592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1453FC6E" w14:textId="77777777" w:rsidTr="006857E7">
        <w:tc>
          <w:tcPr>
            <w:tcW w:w="2722" w:type="dxa"/>
            <w:vAlign w:val="center"/>
          </w:tcPr>
          <w:p w14:paraId="19B42014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7621" w:type="dxa"/>
            <w:vAlign w:val="center"/>
          </w:tcPr>
          <w:p w14:paraId="2E3F6B8B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20D89E3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Suggests practical solutions to new or unique problems</w:t>
            </w:r>
          </w:p>
          <w:p w14:paraId="6C6FB3DC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7507C506" w14:textId="577CEA20" w:rsidR="00361056" w:rsidRPr="006857E7" w:rsidRDefault="00C102F6" w:rsidP="006857E7">
      <w:pPr>
        <w:rPr>
          <w:rFonts w:ascii="Arial" w:hAnsi="Arial" w:cs="Arial"/>
          <w:b/>
          <w:szCs w:val="22"/>
        </w:rPr>
      </w:pPr>
      <w:r w:rsidRPr="006857E7">
        <w:rPr>
          <w:rFonts w:ascii="Arial" w:hAnsi="Arial" w:cs="Arial"/>
          <w:b/>
          <w:szCs w:val="22"/>
        </w:rPr>
        <w:t xml:space="preserve">Last updated: </w:t>
      </w:r>
      <w:r w:rsidR="00DF352F">
        <w:rPr>
          <w:rFonts w:ascii="Arial" w:hAnsi="Arial" w:cs="Arial"/>
          <w:b/>
          <w:szCs w:val="22"/>
        </w:rPr>
        <w:t>16</w:t>
      </w:r>
      <w:r w:rsidR="00634047">
        <w:rPr>
          <w:rFonts w:ascii="Arial" w:hAnsi="Arial" w:cs="Arial"/>
          <w:b/>
          <w:szCs w:val="22"/>
        </w:rPr>
        <w:t>/10</w:t>
      </w:r>
      <w:r w:rsidR="006857E7" w:rsidRPr="006857E7">
        <w:rPr>
          <w:rFonts w:ascii="Arial" w:hAnsi="Arial" w:cs="Arial"/>
          <w:b/>
          <w:szCs w:val="22"/>
        </w:rPr>
        <w:t>/17</w:t>
      </w:r>
    </w:p>
    <w:sectPr w:rsidR="00361056" w:rsidRPr="006857E7" w:rsidSect="0053799B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6975A" w14:textId="77777777" w:rsidR="00D54A76" w:rsidRDefault="00D54A76">
      <w:r>
        <w:separator/>
      </w:r>
    </w:p>
  </w:endnote>
  <w:endnote w:type="continuationSeparator" w:id="0">
    <w:p w14:paraId="4A9FB689" w14:textId="77777777" w:rsidR="00D54A76" w:rsidRDefault="00D5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DBDCE" w14:textId="77777777" w:rsidR="00D54A76" w:rsidRDefault="00D54A76">
      <w:r>
        <w:separator/>
      </w:r>
    </w:p>
  </w:footnote>
  <w:footnote w:type="continuationSeparator" w:id="0">
    <w:p w14:paraId="2CEF0A10" w14:textId="77777777" w:rsidR="00D54A76" w:rsidRDefault="00D5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4101" w14:textId="77777777" w:rsidR="00361056" w:rsidRDefault="00361056" w:rsidP="00361056">
    <w:pPr>
      <w:pStyle w:val="Header"/>
      <w:ind w:left="360"/>
      <w:rPr>
        <w:rFonts w:ascii="Arial" w:hAnsi="Arial" w:cs="Arial"/>
        <w:b/>
      </w:rPr>
    </w:pPr>
  </w:p>
  <w:p w14:paraId="408C7172" w14:textId="77777777" w:rsidR="00361056" w:rsidRPr="00576313" w:rsidRDefault="00361056" w:rsidP="00361056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64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F55EE"/>
    <w:multiLevelType w:val="hybridMultilevel"/>
    <w:tmpl w:val="AE8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5132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6CB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04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A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2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C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A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41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46F4"/>
    <w:multiLevelType w:val="hybridMultilevel"/>
    <w:tmpl w:val="A632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058E7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43A2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6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9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29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8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912E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75A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8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E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C9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2F4A"/>
    <w:multiLevelType w:val="hybridMultilevel"/>
    <w:tmpl w:val="BE1CD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861A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23EA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02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C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2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8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2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5AD3"/>
    <w:multiLevelType w:val="hybridMultilevel"/>
    <w:tmpl w:val="9918D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24"/>
  </w:num>
  <w:num w:numId="17">
    <w:abstractNumId w:val="6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2577D"/>
    <w:rsid w:val="00050CE0"/>
    <w:rsid w:val="000578DC"/>
    <w:rsid w:val="00065D19"/>
    <w:rsid w:val="000870CC"/>
    <w:rsid w:val="000940A9"/>
    <w:rsid w:val="00152ADA"/>
    <w:rsid w:val="00160836"/>
    <w:rsid w:val="001956F9"/>
    <w:rsid w:val="001B6E39"/>
    <w:rsid w:val="001D106E"/>
    <w:rsid w:val="002168AD"/>
    <w:rsid w:val="00287F58"/>
    <w:rsid w:val="0029711E"/>
    <w:rsid w:val="00361056"/>
    <w:rsid w:val="003813DB"/>
    <w:rsid w:val="003A0304"/>
    <w:rsid w:val="003F5B8E"/>
    <w:rsid w:val="00432859"/>
    <w:rsid w:val="00432E17"/>
    <w:rsid w:val="0044702A"/>
    <w:rsid w:val="004A2D38"/>
    <w:rsid w:val="004A4565"/>
    <w:rsid w:val="004E0030"/>
    <w:rsid w:val="004F646F"/>
    <w:rsid w:val="0053799B"/>
    <w:rsid w:val="00634047"/>
    <w:rsid w:val="006857E7"/>
    <w:rsid w:val="006A1609"/>
    <w:rsid w:val="006B38F0"/>
    <w:rsid w:val="006F428F"/>
    <w:rsid w:val="00724099"/>
    <w:rsid w:val="00764CB5"/>
    <w:rsid w:val="007A6BB0"/>
    <w:rsid w:val="007B1573"/>
    <w:rsid w:val="00892A26"/>
    <w:rsid w:val="008B2DF4"/>
    <w:rsid w:val="008C6DD8"/>
    <w:rsid w:val="00902DAA"/>
    <w:rsid w:val="00996C9F"/>
    <w:rsid w:val="009B0E22"/>
    <w:rsid w:val="009B7992"/>
    <w:rsid w:val="00B001F3"/>
    <w:rsid w:val="00B35C16"/>
    <w:rsid w:val="00B760A5"/>
    <w:rsid w:val="00B8660E"/>
    <w:rsid w:val="00BF3ACF"/>
    <w:rsid w:val="00C102F6"/>
    <w:rsid w:val="00C16FE6"/>
    <w:rsid w:val="00C726DA"/>
    <w:rsid w:val="00C86FBA"/>
    <w:rsid w:val="00CC6031"/>
    <w:rsid w:val="00D54A76"/>
    <w:rsid w:val="00D8048D"/>
    <w:rsid w:val="00D9004E"/>
    <w:rsid w:val="00D9034D"/>
    <w:rsid w:val="00DB370E"/>
    <w:rsid w:val="00DE6FC9"/>
    <w:rsid w:val="00DF352F"/>
    <w:rsid w:val="00E0598B"/>
    <w:rsid w:val="00E20C37"/>
    <w:rsid w:val="00EA279B"/>
    <w:rsid w:val="00F6145E"/>
    <w:rsid w:val="00FD590B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542A8"/>
  <w15:docId w15:val="{9E2C5AF6-E723-4DC8-82F4-23AFBFA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B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799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379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799B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3799B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799B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53799B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53799B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3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3799B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3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3799B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094A50"/>
    <w:rPr>
      <w:rFonts w:ascii="Arial" w:hAnsi="Arial" w:cs="Arial"/>
      <w:lang w:eastAsia="en-US"/>
    </w:rPr>
  </w:style>
  <w:style w:type="paragraph" w:styleId="ListBullet">
    <w:name w:val="List Bullet"/>
    <w:basedOn w:val="Normal"/>
    <w:rsid w:val="00094A50"/>
    <w:pPr>
      <w:numPr>
        <w:numId w:val="28"/>
      </w:numPr>
    </w:pPr>
  </w:style>
  <w:style w:type="table" w:styleId="TableGrid">
    <w:name w:val="Table Grid"/>
    <w:basedOn w:val="TableNormal"/>
    <w:uiPriority w:val="59"/>
    <w:rsid w:val="00C10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F3A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3A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3AC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3ACF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96C9F"/>
    <w:rPr>
      <w:rFonts w:ascii="Helvetica" w:hAnsi="Helvetic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996C9F"/>
    <w:rPr>
      <w:rFonts w:ascii="Helvetica" w:hAnsi="Helvetic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DD3487DB</Template>
  <TotalTime>6</TotalTime>
  <Pages>4</Pages>
  <Words>857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Tina Scott</cp:lastModifiedBy>
  <cp:revision>3</cp:revision>
  <cp:lastPrinted>2009-10-27T10:17:00Z</cp:lastPrinted>
  <dcterms:created xsi:type="dcterms:W3CDTF">2017-10-20T09:41:00Z</dcterms:created>
  <dcterms:modified xsi:type="dcterms:W3CDTF">2017-10-20T09:46:00Z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