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AC" w:rsidRDefault="002243AC">
      <w:r>
        <w:rPr>
          <w:noProof/>
          <w:color w:val="FF0000"/>
          <w:sz w:val="20"/>
        </w:rPr>
        <w:drawing>
          <wp:anchor distT="0" distB="0" distL="114300" distR="114300" simplePos="0" relativeHeight="251659264" behindDoc="0" locked="0" layoutInCell="1" allowOverlap="1" wp14:anchorId="591D28CB" wp14:editId="4EB2CB30">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10B65" w:rsidRDefault="001A34FA" w:rsidP="001B6EF9">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510B65">
              <w:rPr>
                <w:rFonts w:ascii="Arial" w:hAnsi="Arial" w:cs="Arial"/>
                <w:b/>
                <w:bCs/>
                <w:sz w:val="20"/>
                <w:szCs w:val="20"/>
              </w:rPr>
              <w:t xml:space="preserve">: BA (Hons) </w:t>
            </w:r>
            <w:r w:rsidR="001B6EF9">
              <w:rPr>
                <w:rFonts w:ascii="Arial" w:hAnsi="Arial" w:cs="Arial"/>
                <w:b/>
                <w:bCs/>
                <w:sz w:val="20"/>
                <w:szCs w:val="20"/>
              </w:rPr>
              <w:t>Bespoke Tailoring</w:t>
            </w: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Salary:</w:t>
            </w:r>
            <w:r w:rsidR="00510B65">
              <w:rPr>
                <w:rFonts w:ascii="Arial" w:hAnsi="Arial" w:cs="Arial"/>
                <w:sz w:val="20"/>
                <w:szCs w:val="20"/>
              </w:rPr>
              <w:t xml:space="preserve"> </w:t>
            </w:r>
            <w:r w:rsidR="009115DA">
              <w:rPr>
                <w:rFonts w:ascii="Arial" w:hAnsi="Arial" w:cs="Arial"/>
                <w:b/>
                <w:sz w:val="20"/>
                <w:szCs w:val="20"/>
              </w:rPr>
              <w:t>£46,423 - £55,932</w:t>
            </w:r>
            <w:r w:rsidR="00510B65" w:rsidRPr="00510B65">
              <w:rPr>
                <w:rFonts w:ascii="Arial" w:hAnsi="Arial" w:cs="Arial"/>
                <w:b/>
                <w:sz w:val="20"/>
                <w:szCs w:val="20"/>
              </w:rPr>
              <w:t xml:space="preserve"> pa</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sz w:val="20"/>
                <w:szCs w:val="20"/>
              </w:rPr>
            </w:pPr>
            <w:r w:rsidRPr="005367C6">
              <w:rPr>
                <w:rFonts w:ascii="Arial" w:hAnsi="Arial" w:cs="Arial"/>
                <w:sz w:val="20"/>
                <w:szCs w:val="20"/>
              </w:rPr>
              <w:t>Hours/ FTE:</w:t>
            </w:r>
            <w:r w:rsidR="00510B65">
              <w:rPr>
                <w:rFonts w:ascii="Arial" w:hAnsi="Arial" w:cs="Arial"/>
                <w:sz w:val="20"/>
                <w:szCs w:val="20"/>
              </w:rPr>
              <w:t xml:space="preserve"> </w:t>
            </w:r>
            <w:r w:rsidR="00510B65" w:rsidRPr="00510B65">
              <w:rPr>
                <w:rFonts w:ascii="Arial" w:hAnsi="Arial" w:cs="Arial"/>
                <w:b/>
                <w:sz w:val="20"/>
                <w:szCs w:val="20"/>
              </w:rPr>
              <w:t>1.0</w:t>
            </w:r>
          </w:p>
        </w:tc>
      </w:tr>
      <w:tr w:rsidR="001A34FA" w:rsidRPr="005367C6"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510B65" w:rsidP="00A55625">
            <w:pPr>
              <w:rPr>
                <w:rFonts w:ascii="Arial" w:hAnsi="Arial" w:cs="Arial"/>
                <w:sz w:val="20"/>
                <w:szCs w:val="20"/>
              </w:rPr>
            </w:pPr>
            <w:r>
              <w:rPr>
                <w:rFonts w:ascii="Arial" w:hAnsi="Arial" w:cs="Arial"/>
                <w:sz w:val="20"/>
                <w:szCs w:val="20"/>
              </w:rPr>
              <w:t xml:space="preserve">Location: </w:t>
            </w:r>
            <w:r w:rsidR="00A55625">
              <w:rPr>
                <w:rFonts w:ascii="Arial" w:eastAsia="Calibri" w:hAnsi="Arial" w:cs="Arial"/>
                <w:b/>
                <w:sz w:val="20"/>
                <w:szCs w:val="20"/>
              </w:rPr>
              <w:t>182</w:t>
            </w:r>
            <w:r w:rsidR="001B6EF9">
              <w:rPr>
                <w:rFonts w:ascii="Arial" w:eastAsia="Calibri" w:hAnsi="Arial" w:cs="Arial"/>
                <w:b/>
                <w:sz w:val="20"/>
                <w:szCs w:val="20"/>
              </w:rPr>
              <w:t xml:space="preserve"> Mare Street, London, E8 3RE</w:t>
            </w:r>
          </w:p>
        </w:tc>
      </w:tr>
      <w:tr w:rsidR="001A34FA" w:rsidRPr="005367C6"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10B65">
              <w:rPr>
                <w:rFonts w:ascii="Arial" w:hAnsi="Arial" w:cs="Arial"/>
                <w:b/>
                <w:bCs/>
                <w:sz w:val="20"/>
                <w:szCs w:val="20"/>
              </w:rPr>
              <w:t>: Craft</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r w:rsidR="005E0C7E">
              <w:rPr>
                <w:rFonts w:ascii="Arial" w:hAnsi="Arial" w:cs="Arial"/>
                <w:b/>
                <w:sz w:val="20"/>
                <w:szCs w:val="20"/>
              </w:rPr>
              <w:t>, School of Design and Technology</w:t>
            </w:r>
          </w:p>
          <w:p w:rsidR="001A34FA" w:rsidRPr="005367C6" w:rsidRDefault="001A34FA" w:rsidP="001E2C5B">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rFonts w:ascii="Arial" w:hAnsi="Arial" w:cs="Arial"/>
          <w:sz w:val="20"/>
          <w:szCs w:val="20"/>
        </w:rPr>
      </w:pPr>
    </w:p>
    <w:p w:rsidR="005C7122" w:rsidRDefault="005C7122">
      <w:pPr>
        <w:rPr>
          <w:rFonts w:ascii="Arial" w:hAnsi="Arial" w:cs="Arial"/>
          <w:b/>
          <w:sz w:val="28"/>
          <w:szCs w:val="28"/>
        </w:rPr>
      </w:pPr>
      <w:r>
        <w:rPr>
          <w:rFonts w:ascii="Arial" w:hAnsi="Arial" w:cs="Arial"/>
          <w:b/>
          <w:sz w:val="28"/>
          <w:szCs w:val="28"/>
        </w:rPr>
        <w:br w:type="page"/>
      </w:r>
    </w:p>
    <w:p w:rsidR="005C7122" w:rsidRDefault="001B6EF9" w:rsidP="003D595B">
      <w:pPr>
        <w:rPr>
          <w:rFonts w:ascii="Arial" w:hAnsi="Arial" w:cs="Arial"/>
          <w:b/>
          <w:sz w:val="28"/>
          <w:szCs w:val="28"/>
        </w:rPr>
      </w:pPr>
      <w:r>
        <w:rPr>
          <w:rFonts w:ascii="Arial" w:hAnsi="Arial" w:cs="Arial"/>
          <w:b/>
          <w:sz w:val="28"/>
          <w:szCs w:val="28"/>
        </w:rPr>
        <w:lastRenderedPageBreak/>
        <w:t>Job Title: Course Leader BA (Hons) Bespoke Tailoring</w:t>
      </w:r>
    </w:p>
    <w:p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rsidTr="00935364">
        <w:trPr>
          <w:trHeight w:val="410"/>
        </w:trPr>
        <w:tc>
          <w:tcPr>
            <w:tcW w:w="9016" w:type="dxa"/>
            <w:gridSpan w:val="2"/>
            <w:shd w:val="clear" w:color="auto" w:fill="000000" w:themeFill="text1"/>
          </w:tcPr>
          <w:p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35364" w:rsidTr="00935364">
        <w:trPr>
          <w:trHeight w:val="700"/>
        </w:trPr>
        <w:tc>
          <w:tcPr>
            <w:tcW w:w="3760" w:type="dxa"/>
            <w:vMerge w:val="restart"/>
            <w:vAlign w:val="center"/>
          </w:tcPr>
          <w:p w:rsidR="00935364" w:rsidRDefault="00935364" w:rsidP="002A7C02">
            <w:pPr>
              <w:rPr>
                <w:rFonts w:ascii="Arial" w:hAnsi="Arial" w:cs="Arial"/>
                <w:sz w:val="24"/>
                <w:szCs w:val="24"/>
              </w:rPr>
            </w:pPr>
            <w:bookmarkStart w:id="0" w:name="_GoBack" w:colFirst="1" w:colLast="1"/>
            <w:r>
              <w:rPr>
                <w:rFonts w:ascii="Arial" w:hAnsi="Arial" w:cs="Arial"/>
                <w:sz w:val="24"/>
                <w:szCs w:val="24"/>
              </w:rPr>
              <w:t>Specialist  Knowledge/Qualifications</w:t>
            </w:r>
          </w:p>
        </w:tc>
        <w:tc>
          <w:tcPr>
            <w:tcW w:w="5256" w:type="dxa"/>
            <w:vAlign w:val="center"/>
          </w:tcPr>
          <w:p w:rsidR="00935364" w:rsidRPr="00C65ECC" w:rsidRDefault="00935364" w:rsidP="007B4D17">
            <w:pPr>
              <w:rPr>
                <w:rFonts w:ascii="Arial" w:hAnsi="Arial" w:cs="Arial"/>
                <w:i/>
                <w:sz w:val="24"/>
                <w:szCs w:val="24"/>
              </w:rPr>
            </w:pPr>
            <w:r w:rsidRPr="005C7122">
              <w:rPr>
                <w:rFonts w:ascii="Arial" w:eastAsia="Calibri" w:hAnsi="Arial" w:cs="Arial"/>
                <w:sz w:val="24"/>
              </w:rPr>
              <w:t xml:space="preserve">A </w:t>
            </w:r>
            <w:r w:rsidRPr="005C7122">
              <w:rPr>
                <w:rFonts w:ascii="Arial" w:hAnsi="Arial" w:cs="Arial"/>
                <w:sz w:val="24"/>
              </w:rPr>
              <w:t>r</w:t>
            </w:r>
            <w:r>
              <w:rPr>
                <w:rFonts w:ascii="Arial" w:hAnsi="Arial" w:cs="Arial"/>
                <w:sz w:val="24"/>
              </w:rPr>
              <w:t>elevant degree qualification and substantive</w:t>
            </w:r>
            <w:r w:rsidRPr="005C7122">
              <w:rPr>
                <w:rFonts w:ascii="Arial" w:hAnsi="Arial" w:cs="Arial"/>
                <w:sz w:val="24"/>
              </w:rPr>
              <w:t xml:space="preserve"> industry experience. </w:t>
            </w:r>
          </w:p>
        </w:tc>
      </w:tr>
      <w:tr w:rsidR="00935364" w:rsidTr="00935364">
        <w:trPr>
          <w:trHeight w:val="700"/>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935364" w:rsidRDefault="00935364" w:rsidP="00935364">
            <w:pPr>
              <w:pStyle w:val="NormalWeb"/>
              <w:rPr>
                <w:rFonts w:ascii="Arial" w:hAnsi="Arial" w:cs="Arial"/>
              </w:rPr>
            </w:pPr>
            <w:r w:rsidRPr="0075525D">
              <w:rPr>
                <w:rFonts w:ascii="Arial" w:hAnsi="Arial" w:cs="Arial"/>
              </w:rPr>
              <w:t xml:space="preserve">A postgraduate </w:t>
            </w:r>
            <w:r>
              <w:rPr>
                <w:rFonts w:ascii="Arial" w:hAnsi="Arial" w:cs="Arial"/>
              </w:rPr>
              <w:t xml:space="preserve">(MA/PhD) </w:t>
            </w:r>
            <w:r w:rsidRPr="0075525D">
              <w:rPr>
                <w:rFonts w:ascii="Arial" w:hAnsi="Arial" w:cs="Arial"/>
              </w:rPr>
              <w:t>qualification in a related field is</w:t>
            </w:r>
            <w:r>
              <w:rPr>
                <w:rFonts w:ascii="Arial" w:hAnsi="Arial" w:cs="Arial"/>
              </w:rPr>
              <w:t xml:space="preserve"> desirable.</w:t>
            </w:r>
          </w:p>
        </w:tc>
      </w:tr>
      <w:tr w:rsidR="00935364" w:rsidTr="00935364">
        <w:trPr>
          <w:trHeight w:val="700"/>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75525D" w:rsidRDefault="00935364" w:rsidP="00935364">
            <w:pPr>
              <w:pStyle w:val="NormalWeb"/>
              <w:rPr>
                <w:rFonts w:ascii="Arial" w:hAnsi="Arial" w:cs="Arial"/>
              </w:rPr>
            </w:pPr>
            <w:r>
              <w:rPr>
                <w:rFonts w:ascii="Arial" w:hAnsi="Arial" w:cs="Arial"/>
              </w:rPr>
              <w:t>A teaching qualification is desirable</w:t>
            </w:r>
          </w:p>
        </w:tc>
      </w:tr>
      <w:tr w:rsidR="00935364" w:rsidTr="00935364">
        <w:trPr>
          <w:trHeight w:val="425"/>
        </w:trPr>
        <w:tc>
          <w:tcPr>
            <w:tcW w:w="3760" w:type="dxa"/>
            <w:vMerge w:val="restart"/>
            <w:vAlign w:val="center"/>
          </w:tcPr>
          <w:p w:rsidR="00935364" w:rsidRDefault="00935364" w:rsidP="002A7C02">
            <w:pPr>
              <w:rPr>
                <w:rFonts w:ascii="Arial" w:hAnsi="Arial" w:cs="Arial"/>
                <w:sz w:val="24"/>
                <w:szCs w:val="24"/>
              </w:rPr>
            </w:pPr>
            <w:r>
              <w:rPr>
                <w:rFonts w:ascii="Arial" w:hAnsi="Arial" w:cs="Arial"/>
                <w:sz w:val="24"/>
                <w:szCs w:val="24"/>
              </w:rPr>
              <w:t>Relevant Experience</w:t>
            </w:r>
          </w:p>
        </w:tc>
        <w:tc>
          <w:tcPr>
            <w:tcW w:w="5256" w:type="dxa"/>
            <w:vAlign w:val="center"/>
          </w:tcPr>
          <w:p w:rsidR="00935364" w:rsidRPr="00935364" w:rsidRDefault="00935364" w:rsidP="001B6EF9">
            <w:pPr>
              <w:rPr>
                <w:rFonts w:ascii="Arial" w:hAnsi="Arial" w:cs="Arial"/>
                <w:color w:val="000000"/>
                <w:sz w:val="24"/>
                <w:szCs w:val="24"/>
              </w:rPr>
            </w:pPr>
            <w:r w:rsidRPr="0076272E">
              <w:rPr>
                <w:rFonts w:ascii="Arial" w:hAnsi="Arial" w:cs="Arial"/>
                <w:color w:val="000000"/>
                <w:sz w:val="24"/>
                <w:szCs w:val="24"/>
              </w:rPr>
              <w:t xml:space="preserve">Experience of current </w:t>
            </w:r>
            <w:r w:rsidR="001B6EF9">
              <w:rPr>
                <w:rFonts w:ascii="Arial" w:hAnsi="Arial" w:cs="Arial"/>
                <w:color w:val="000000"/>
                <w:sz w:val="24"/>
                <w:szCs w:val="24"/>
              </w:rPr>
              <w:t>bespoke</w:t>
            </w:r>
            <w:r w:rsidRPr="0076272E">
              <w:rPr>
                <w:rFonts w:ascii="Arial" w:hAnsi="Arial" w:cs="Arial"/>
                <w:color w:val="000000"/>
                <w:sz w:val="24"/>
                <w:szCs w:val="24"/>
              </w:rPr>
              <w:t xml:space="preserve"> </w:t>
            </w:r>
            <w:r w:rsidR="00296363">
              <w:rPr>
                <w:rFonts w:ascii="Arial" w:hAnsi="Arial" w:cs="Arial"/>
                <w:color w:val="000000"/>
                <w:sz w:val="24"/>
                <w:szCs w:val="24"/>
              </w:rPr>
              <w:t xml:space="preserve">tailoring </w:t>
            </w:r>
            <w:r w:rsidRPr="0076272E">
              <w:rPr>
                <w:rFonts w:ascii="Arial" w:hAnsi="Arial" w:cs="Arial"/>
                <w:color w:val="000000"/>
                <w:sz w:val="24"/>
                <w:szCs w:val="24"/>
              </w:rPr>
              <w:t>design, manufacture, technology and craft practices</w:t>
            </w:r>
            <w:r>
              <w:rPr>
                <w:rFonts w:ascii="Arial" w:hAnsi="Arial" w:cs="Arial"/>
                <w:color w:val="000000"/>
                <w:sz w:val="24"/>
                <w:szCs w:val="24"/>
              </w:rPr>
              <w:t>.</w:t>
            </w:r>
          </w:p>
        </w:tc>
      </w:tr>
      <w:tr w:rsidR="00935364" w:rsidTr="00935364">
        <w:trPr>
          <w:trHeight w:val="425"/>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76272E" w:rsidRDefault="00935364" w:rsidP="003D595B">
            <w:pPr>
              <w:rPr>
                <w:rFonts w:ascii="Arial" w:hAnsi="Arial" w:cs="Arial"/>
                <w:color w:val="000000"/>
                <w:sz w:val="24"/>
                <w:szCs w:val="24"/>
              </w:rPr>
            </w:pPr>
            <w:r>
              <w:rPr>
                <w:rFonts w:ascii="Arial" w:hAnsi="Arial" w:cs="Arial"/>
                <w:color w:val="000000"/>
                <w:sz w:val="24"/>
                <w:szCs w:val="24"/>
              </w:rPr>
              <w:t>Experience with curriculum and course management</w:t>
            </w:r>
          </w:p>
        </w:tc>
      </w:tr>
      <w:tr w:rsidR="00935364" w:rsidTr="00935364">
        <w:trPr>
          <w:trHeight w:val="425"/>
        </w:trPr>
        <w:tc>
          <w:tcPr>
            <w:tcW w:w="3760" w:type="dxa"/>
            <w:vMerge/>
            <w:vAlign w:val="center"/>
          </w:tcPr>
          <w:p w:rsidR="00935364" w:rsidRDefault="00935364" w:rsidP="002A7C02">
            <w:pPr>
              <w:rPr>
                <w:rFonts w:ascii="Arial" w:hAnsi="Arial" w:cs="Arial"/>
                <w:sz w:val="24"/>
                <w:szCs w:val="24"/>
              </w:rPr>
            </w:pPr>
          </w:p>
        </w:tc>
        <w:tc>
          <w:tcPr>
            <w:tcW w:w="5256" w:type="dxa"/>
            <w:vAlign w:val="center"/>
          </w:tcPr>
          <w:p w:rsidR="00935364" w:rsidRPr="00935364" w:rsidRDefault="00935364" w:rsidP="002A7C02">
            <w:pPr>
              <w:rPr>
                <w:rFonts w:ascii="Arial" w:hAnsi="Arial" w:cs="Arial"/>
                <w:color w:val="000000"/>
                <w:sz w:val="24"/>
                <w:szCs w:val="24"/>
              </w:rPr>
            </w:pPr>
            <w:r>
              <w:rPr>
                <w:rFonts w:ascii="Arial" w:hAnsi="Arial" w:cs="Arial"/>
                <w:color w:val="000000"/>
                <w:sz w:val="24"/>
                <w:szCs w:val="24"/>
              </w:rPr>
              <w:t xml:space="preserve">Evidence of current </w:t>
            </w:r>
            <w:r w:rsidRPr="0076272E">
              <w:rPr>
                <w:rFonts w:ascii="Arial" w:hAnsi="Arial" w:cs="Arial"/>
                <w:color w:val="000000"/>
                <w:sz w:val="24"/>
                <w:szCs w:val="24"/>
                <w:shd w:val="clear" w:color="auto" w:fill="FFFFFF"/>
              </w:rPr>
              <w:t>research or professional practice</w:t>
            </w:r>
            <w:r w:rsidR="001B6EF9">
              <w:rPr>
                <w:rFonts w:ascii="Arial" w:hAnsi="Arial" w:cs="Arial"/>
                <w:color w:val="000000"/>
                <w:sz w:val="24"/>
                <w:szCs w:val="24"/>
                <w:shd w:val="clear" w:color="auto" w:fill="FFFFFF"/>
              </w:rPr>
              <w:t xml:space="preserve"> is desirable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256" w:type="dxa"/>
            <w:vAlign w:val="center"/>
          </w:tcPr>
          <w:p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rsidTr="00935364">
        <w:trPr>
          <w:trHeight w:val="915"/>
        </w:trPr>
        <w:tc>
          <w:tcPr>
            <w:tcW w:w="3760" w:type="dxa"/>
            <w:vMerge w:val="restart"/>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rsidR="003D595B" w:rsidRPr="006F0805" w:rsidRDefault="003D595B" w:rsidP="002A7C02">
            <w:pPr>
              <w:rPr>
                <w:rFonts w:ascii="Arial" w:hAnsi="Arial" w:cs="Arial"/>
                <w:sz w:val="24"/>
                <w:szCs w:val="24"/>
              </w:rPr>
            </w:pPr>
          </w:p>
        </w:tc>
        <w:tc>
          <w:tcPr>
            <w:tcW w:w="525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3D595B" w:rsidTr="00935364">
        <w:trPr>
          <w:trHeight w:val="750"/>
        </w:trPr>
        <w:tc>
          <w:tcPr>
            <w:tcW w:w="3760" w:type="dxa"/>
            <w:vMerge/>
            <w:vAlign w:val="center"/>
          </w:tcPr>
          <w:p w:rsidR="003D595B" w:rsidRPr="006F0805" w:rsidRDefault="003D595B" w:rsidP="002A7C02">
            <w:pPr>
              <w:rPr>
                <w:rFonts w:ascii="Arial" w:hAnsi="Arial" w:cs="Arial"/>
                <w:sz w:val="24"/>
                <w:szCs w:val="24"/>
              </w:rPr>
            </w:pPr>
          </w:p>
        </w:tc>
        <w:tc>
          <w:tcPr>
            <w:tcW w:w="5256" w:type="dxa"/>
            <w:vAlign w:val="center"/>
          </w:tcPr>
          <w:p w:rsidR="003D595B" w:rsidRPr="006F0805" w:rsidRDefault="003D595B" w:rsidP="002A7C0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256" w:type="dxa"/>
            <w:vAlign w:val="center"/>
          </w:tcPr>
          <w:p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rsidTr="00935364">
        <w:tc>
          <w:tcPr>
            <w:tcW w:w="3760" w:type="dxa"/>
            <w:vAlign w:val="center"/>
          </w:tcPr>
          <w:p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3D595B" w:rsidRPr="007C083E" w:rsidRDefault="003D595B" w:rsidP="002A7C02">
            <w:pPr>
              <w:rPr>
                <w:rFonts w:ascii="Arial" w:hAnsi="Arial" w:cs="Arial"/>
                <w:sz w:val="24"/>
                <w:szCs w:val="24"/>
              </w:rPr>
            </w:pPr>
          </w:p>
        </w:tc>
      </w:tr>
      <w:bookmarkEnd w:id="0"/>
    </w:tbl>
    <w:p w:rsidR="003D595B" w:rsidRDefault="003D595B" w:rsidP="003D595B">
      <w:pPr>
        <w:rPr>
          <w:rFonts w:ascii="Arial" w:hAnsi="Arial" w:cs="Arial"/>
          <w:sz w:val="24"/>
          <w:szCs w:val="24"/>
        </w:rPr>
      </w:pPr>
    </w:p>
    <w:p w:rsidR="003D595B" w:rsidRPr="005367C6" w:rsidRDefault="003D595B" w:rsidP="00935364">
      <w:pPr>
        <w:outlineLvl w:val="0"/>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1B6EF9">
        <w:rPr>
          <w:rFonts w:ascii="Arial" w:hAnsi="Arial" w:cs="Arial"/>
          <w:b/>
          <w:sz w:val="24"/>
          <w:szCs w:val="24"/>
        </w:rPr>
        <w:t>22/10/2018</w:t>
      </w:r>
    </w:p>
    <w:p w:rsidR="001A34FA" w:rsidRPr="005367C6" w:rsidRDefault="001A34FA">
      <w:pPr>
        <w:rPr>
          <w:rFonts w:ascii="Arial" w:hAnsi="Arial" w:cs="Arial"/>
          <w:sz w:val="20"/>
          <w:szCs w:val="20"/>
        </w:rPr>
      </w:pPr>
    </w:p>
    <w:sectPr w:rsidR="001A34FA" w:rsidRPr="005367C6" w:rsidSect="009A5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D1" w:rsidRDefault="00B561D1" w:rsidP="00D168B2">
      <w:pPr>
        <w:rPr>
          <w:rFonts w:cs="Times New Roman"/>
        </w:rPr>
      </w:pPr>
      <w:r>
        <w:rPr>
          <w:rFonts w:cs="Times New Roman"/>
        </w:rPr>
        <w:separator/>
      </w:r>
    </w:p>
  </w:endnote>
  <w:endnote w:type="continuationSeparator" w:id="0">
    <w:p w:rsidR="00B561D1" w:rsidRDefault="00B561D1"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D1" w:rsidRDefault="00B561D1" w:rsidP="00D168B2">
      <w:pPr>
        <w:rPr>
          <w:rFonts w:cs="Times New Roman"/>
        </w:rPr>
      </w:pPr>
      <w:r>
        <w:rPr>
          <w:rFonts w:cs="Times New Roman"/>
        </w:rPr>
        <w:separator/>
      </w:r>
    </w:p>
  </w:footnote>
  <w:footnote w:type="continuationSeparator" w:id="0">
    <w:p w:rsidR="00B561D1" w:rsidRDefault="00B561D1"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83988"/>
    <w:rsid w:val="001A34FA"/>
    <w:rsid w:val="001B6EF9"/>
    <w:rsid w:val="001C650A"/>
    <w:rsid w:val="001E2C5B"/>
    <w:rsid w:val="002243AC"/>
    <w:rsid w:val="00244139"/>
    <w:rsid w:val="0025595C"/>
    <w:rsid w:val="00282F56"/>
    <w:rsid w:val="002852E7"/>
    <w:rsid w:val="00296363"/>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0B65"/>
    <w:rsid w:val="00517DBD"/>
    <w:rsid w:val="005367C6"/>
    <w:rsid w:val="00584572"/>
    <w:rsid w:val="00597A9A"/>
    <w:rsid w:val="005C7122"/>
    <w:rsid w:val="005E0C7E"/>
    <w:rsid w:val="0061198A"/>
    <w:rsid w:val="0065410B"/>
    <w:rsid w:val="00656F9B"/>
    <w:rsid w:val="00667811"/>
    <w:rsid w:val="006766A1"/>
    <w:rsid w:val="006A7AD3"/>
    <w:rsid w:val="006B48A8"/>
    <w:rsid w:val="006C25BF"/>
    <w:rsid w:val="006C666B"/>
    <w:rsid w:val="006D45F8"/>
    <w:rsid w:val="007148F7"/>
    <w:rsid w:val="00776821"/>
    <w:rsid w:val="007A2BE0"/>
    <w:rsid w:val="007B4587"/>
    <w:rsid w:val="007B4D17"/>
    <w:rsid w:val="007C5EBD"/>
    <w:rsid w:val="007D018B"/>
    <w:rsid w:val="007D35F5"/>
    <w:rsid w:val="00821A21"/>
    <w:rsid w:val="008450E6"/>
    <w:rsid w:val="00877DFF"/>
    <w:rsid w:val="00895DBD"/>
    <w:rsid w:val="008A3AE3"/>
    <w:rsid w:val="008F3AC1"/>
    <w:rsid w:val="009029FB"/>
    <w:rsid w:val="009115DA"/>
    <w:rsid w:val="00934F15"/>
    <w:rsid w:val="00935364"/>
    <w:rsid w:val="0094254E"/>
    <w:rsid w:val="00944F80"/>
    <w:rsid w:val="00946D92"/>
    <w:rsid w:val="009679A7"/>
    <w:rsid w:val="009A5B0A"/>
    <w:rsid w:val="009E64A1"/>
    <w:rsid w:val="00A06073"/>
    <w:rsid w:val="00A164D2"/>
    <w:rsid w:val="00A27468"/>
    <w:rsid w:val="00A55625"/>
    <w:rsid w:val="00A601B7"/>
    <w:rsid w:val="00A86B15"/>
    <w:rsid w:val="00AD4EBF"/>
    <w:rsid w:val="00AD7C64"/>
    <w:rsid w:val="00B00050"/>
    <w:rsid w:val="00B23D36"/>
    <w:rsid w:val="00B561D1"/>
    <w:rsid w:val="00B976CC"/>
    <w:rsid w:val="00BA04E4"/>
    <w:rsid w:val="00BB19AC"/>
    <w:rsid w:val="00BC4115"/>
    <w:rsid w:val="00BE2DB7"/>
    <w:rsid w:val="00C276F1"/>
    <w:rsid w:val="00C56921"/>
    <w:rsid w:val="00CB119C"/>
    <w:rsid w:val="00CB5B04"/>
    <w:rsid w:val="00D168B2"/>
    <w:rsid w:val="00D20100"/>
    <w:rsid w:val="00D33778"/>
    <w:rsid w:val="00D727E4"/>
    <w:rsid w:val="00D93C37"/>
    <w:rsid w:val="00DB4EC2"/>
    <w:rsid w:val="00E67E2B"/>
    <w:rsid w:val="00EC0109"/>
    <w:rsid w:val="00EE3177"/>
    <w:rsid w:val="00EF392F"/>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C007E"/>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6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1346</Words>
  <Characters>8577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 Hitter</cp:lastModifiedBy>
  <cp:revision>9</cp:revision>
  <cp:lastPrinted>2011-03-08T15:32:00Z</cp:lastPrinted>
  <dcterms:created xsi:type="dcterms:W3CDTF">2018-10-22T12:37:00Z</dcterms:created>
  <dcterms:modified xsi:type="dcterms:W3CDTF">2020-08-27T14:38:00Z</dcterms:modified>
</cp:coreProperties>
</file>