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4156" w:rsidRPr="00D40CE9" w:rsidRDefault="00D54156" w:rsidP="00D54156">
      <w:pPr>
        <w:ind w:left="-180"/>
        <w:rPr>
          <w:rFonts w:asciiTheme="majorHAnsi" w:hAnsiTheme="majorHAnsi"/>
          <w:noProof/>
        </w:rPr>
      </w:pPr>
      <w:bookmarkStart w:id="0" w:name="_GoBack"/>
      <w:bookmarkEnd w:id="0"/>
      <w:r w:rsidRPr="00D40CE9">
        <w:rPr>
          <w:rFonts w:asciiTheme="majorHAnsi" w:hAnsiTheme="majorHAnsi"/>
          <w:noProof/>
          <w:lang w:val="en-GB" w:eastAsia="en-GB"/>
        </w:rPr>
        <w:drawing>
          <wp:anchor distT="0" distB="0" distL="114300" distR="114300" simplePos="0" relativeHeight="251659264" behindDoc="0" locked="0" layoutInCell="1" allowOverlap="1" wp14:anchorId="25F94A62" wp14:editId="67A750C4">
            <wp:simplePos x="0" y="0"/>
            <wp:positionH relativeFrom="column">
              <wp:posOffset>-592455</wp:posOffset>
            </wp:positionH>
            <wp:positionV relativeFrom="paragraph">
              <wp:posOffset>-638810</wp:posOffset>
            </wp:positionV>
            <wp:extent cx="2876550" cy="533400"/>
            <wp:effectExtent l="0" t="0" r="0" b="0"/>
            <wp:wrapTopAndBottom/>
            <wp:docPr id="1" name="Picture 0" descr="Main_UAL_Lockup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Main_UAL_Lockup_BLACK.png"/>
                    <pic:cNvPicPr>
                      <a:picLocks noChangeAspect="1" noChangeArrowheads="1"/>
                    </pic:cNvPicPr>
                  </pic:nvPicPr>
                  <pic:blipFill>
                    <a:blip r:embed="rId5" cstate="print"/>
                    <a:srcRect/>
                    <a:stretch>
                      <a:fillRect/>
                    </a:stretch>
                  </pic:blipFill>
                  <pic:spPr bwMode="auto">
                    <a:xfrm>
                      <a:off x="0" y="0"/>
                      <a:ext cx="2876550" cy="533400"/>
                    </a:xfrm>
                    <a:prstGeom prst="rect">
                      <a:avLst/>
                    </a:prstGeom>
                    <a:noFill/>
                    <a:ln w="9525">
                      <a:noFill/>
                      <a:miter lim="800000"/>
                      <a:headEnd/>
                      <a:tailEnd/>
                    </a:ln>
                  </pic:spPr>
                </pic:pic>
              </a:graphicData>
            </a:graphic>
          </wp:anchor>
        </w:drawing>
      </w:r>
    </w:p>
    <w:p w:rsidR="00D54156" w:rsidRPr="00D40CE9" w:rsidRDefault="00D54156" w:rsidP="00D54156">
      <w:pPr>
        <w:ind w:left="-180"/>
        <w:rPr>
          <w:rFonts w:asciiTheme="majorHAnsi" w:hAnsiTheme="majorHAnsi"/>
          <w:noProof/>
        </w:rPr>
      </w:pPr>
    </w:p>
    <w:p w:rsidR="00D54156" w:rsidRPr="00D40CE9" w:rsidRDefault="00D54156" w:rsidP="00D54156">
      <w:pPr>
        <w:rPr>
          <w:rFonts w:asciiTheme="majorHAnsi" w:hAnsiTheme="majorHAnsi"/>
          <w:noProof/>
        </w:rPr>
      </w:pPr>
    </w:p>
    <w:tbl>
      <w:tblPr>
        <w:tblW w:w="10415" w:type="dxa"/>
        <w:tblInd w:w="-106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010"/>
        <w:gridCol w:w="1899"/>
        <w:gridCol w:w="2070"/>
        <w:gridCol w:w="2436"/>
      </w:tblGrid>
      <w:tr w:rsidR="00D54156" w:rsidRPr="00D40CE9" w:rsidTr="006E50D8">
        <w:tc>
          <w:tcPr>
            <w:tcW w:w="10415" w:type="dxa"/>
            <w:gridSpan w:val="4"/>
            <w:tcBorders>
              <w:bottom w:val="single" w:sz="8" w:space="0" w:color="auto"/>
            </w:tcBorders>
          </w:tcPr>
          <w:p w:rsidR="00D54156" w:rsidRPr="00D40CE9" w:rsidRDefault="00D54156" w:rsidP="007139CF">
            <w:pPr>
              <w:pStyle w:val="Heading3"/>
              <w:rPr>
                <w:rFonts w:asciiTheme="majorHAnsi" w:hAnsiTheme="majorHAnsi"/>
                <w:b w:val="0"/>
                <w:sz w:val="20"/>
                <w:szCs w:val="20"/>
              </w:rPr>
            </w:pPr>
            <w:r w:rsidRPr="00D40CE9">
              <w:rPr>
                <w:rFonts w:asciiTheme="majorHAnsi" w:hAnsiTheme="majorHAnsi"/>
                <w:sz w:val="20"/>
                <w:szCs w:val="20"/>
              </w:rPr>
              <w:t>JOB DESCRIPTION AND PERSON SPECIFICATION</w:t>
            </w:r>
          </w:p>
        </w:tc>
      </w:tr>
      <w:tr w:rsidR="00D54156" w:rsidRPr="00D40CE9" w:rsidTr="006E50D8">
        <w:trPr>
          <w:cantSplit/>
          <w:trHeight w:val="368"/>
        </w:trPr>
        <w:tc>
          <w:tcPr>
            <w:tcW w:w="5909" w:type="dxa"/>
            <w:gridSpan w:val="2"/>
            <w:tcBorders>
              <w:bottom w:val="nil"/>
              <w:right w:val="nil"/>
            </w:tcBorders>
            <w:vAlign w:val="center"/>
          </w:tcPr>
          <w:p w:rsidR="00D54156" w:rsidRPr="00D40CE9" w:rsidRDefault="00D54156" w:rsidP="007139CF">
            <w:pPr>
              <w:rPr>
                <w:rFonts w:asciiTheme="majorHAnsi" w:hAnsiTheme="majorHAnsi"/>
                <w:b/>
              </w:rPr>
            </w:pPr>
          </w:p>
          <w:p w:rsidR="00D54156" w:rsidRPr="00D40CE9" w:rsidRDefault="00D54156" w:rsidP="00D959D2">
            <w:pPr>
              <w:rPr>
                <w:rFonts w:asciiTheme="majorHAnsi" w:hAnsiTheme="majorHAnsi"/>
              </w:rPr>
            </w:pPr>
            <w:r w:rsidRPr="00D40CE9">
              <w:rPr>
                <w:rFonts w:asciiTheme="majorHAnsi" w:hAnsiTheme="majorHAnsi"/>
                <w:b/>
              </w:rPr>
              <w:t>Job Title</w:t>
            </w:r>
            <w:r w:rsidRPr="00D40CE9">
              <w:rPr>
                <w:rFonts w:asciiTheme="majorHAnsi" w:hAnsiTheme="majorHAnsi"/>
              </w:rPr>
              <w:t xml:space="preserve">:   </w:t>
            </w:r>
            <w:r w:rsidR="00E64B1D">
              <w:rPr>
                <w:rFonts w:asciiTheme="majorHAnsi" w:hAnsiTheme="majorHAnsi"/>
              </w:rPr>
              <w:t>Associate Dean Student Experience</w:t>
            </w:r>
          </w:p>
          <w:p w:rsidR="00D54156" w:rsidRPr="00D40CE9" w:rsidRDefault="00D54156" w:rsidP="007139CF">
            <w:pPr>
              <w:tabs>
                <w:tab w:val="left" w:pos="950"/>
              </w:tabs>
              <w:rPr>
                <w:rFonts w:asciiTheme="majorHAnsi" w:hAnsiTheme="majorHAnsi"/>
              </w:rPr>
            </w:pPr>
          </w:p>
        </w:tc>
        <w:tc>
          <w:tcPr>
            <w:tcW w:w="4506" w:type="dxa"/>
            <w:gridSpan w:val="2"/>
            <w:tcBorders>
              <w:left w:val="nil"/>
              <w:bottom w:val="nil"/>
            </w:tcBorders>
          </w:tcPr>
          <w:p w:rsidR="00D54156" w:rsidRPr="00D40CE9" w:rsidRDefault="00D54156" w:rsidP="007139CF">
            <w:pPr>
              <w:rPr>
                <w:rFonts w:asciiTheme="majorHAnsi" w:hAnsiTheme="majorHAnsi"/>
                <w:b/>
              </w:rPr>
            </w:pPr>
          </w:p>
          <w:p w:rsidR="00D54156" w:rsidRPr="00D40CE9" w:rsidRDefault="00D54156" w:rsidP="007139CF">
            <w:pPr>
              <w:rPr>
                <w:rFonts w:asciiTheme="majorHAnsi" w:hAnsiTheme="majorHAnsi"/>
                <w:b/>
              </w:rPr>
            </w:pPr>
            <w:r w:rsidRPr="00D40CE9">
              <w:rPr>
                <w:rFonts w:asciiTheme="majorHAnsi" w:hAnsiTheme="majorHAnsi"/>
                <w:b/>
              </w:rPr>
              <w:t>Accountable to</w:t>
            </w:r>
            <w:r w:rsidR="00E64B1D">
              <w:rPr>
                <w:rFonts w:asciiTheme="majorHAnsi" w:hAnsiTheme="majorHAnsi"/>
              </w:rPr>
              <w:t>: Dean of Academic Strategy</w:t>
            </w:r>
          </w:p>
        </w:tc>
      </w:tr>
      <w:tr w:rsidR="00D54156" w:rsidRPr="00D40CE9" w:rsidTr="006E50D8">
        <w:trPr>
          <w:cantSplit/>
          <w:trHeight w:val="368"/>
        </w:trPr>
        <w:tc>
          <w:tcPr>
            <w:tcW w:w="4010" w:type="dxa"/>
            <w:tcBorders>
              <w:top w:val="nil"/>
              <w:bottom w:val="nil"/>
              <w:right w:val="nil"/>
            </w:tcBorders>
            <w:vAlign w:val="center"/>
          </w:tcPr>
          <w:p w:rsidR="00D54156" w:rsidRPr="00D40CE9" w:rsidRDefault="00D54156" w:rsidP="007139CF">
            <w:pPr>
              <w:rPr>
                <w:rFonts w:asciiTheme="majorHAnsi" w:hAnsiTheme="majorHAnsi"/>
                <w:b/>
              </w:rPr>
            </w:pPr>
            <w:r w:rsidRPr="00D40CE9">
              <w:rPr>
                <w:rFonts w:asciiTheme="majorHAnsi" w:hAnsiTheme="majorHAnsi"/>
                <w:b/>
              </w:rPr>
              <w:t>Contract Length</w:t>
            </w:r>
            <w:r w:rsidRPr="00D40CE9">
              <w:rPr>
                <w:rFonts w:asciiTheme="majorHAnsi" w:hAnsiTheme="majorHAnsi"/>
              </w:rPr>
              <w:t>:</w:t>
            </w:r>
            <w:r w:rsidR="0043113D">
              <w:rPr>
                <w:rFonts w:asciiTheme="majorHAnsi" w:hAnsiTheme="majorHAnsi"/>
              </w:rPr>
              <w:t xml:space="preserve"> Permanent</w:t>
            </w:r>
          </w:p>
        </w:tc>
        <w:tc>
          <w:tcPr>
            <w:tcW w:w="3969" w:type="dxa"/>
            <w:gridSpan w:val="2"/>
            <w:tcBorders>
              <w:top w:val="nil"/>
              <w:left w:val="nil"/>
              <w:bottom w:val="nil"/>
              <w:right w:val="nil"/>
            </w:tcBorders>
            <w:vAlign w:val="center"/>
          </w:tcPr>
          <w:p w:rsidR="00D54156" w:rsidRPr="00D40CE9" w:rsidRDefault="00D54156" w:rsidP="007139CF">
            <w:pPr>
              <w:rPr>
                <w:rFonts w:asciiTheme="majorHAnsi" w:hAnsiTheme="majorHAnsi"/>
              </w:rPr>
            </w:pPr>
            <w:r w:rsidRPr="00D40CE9">
              <w:rPr>
                <w:rFonts w:asciiTheme="majorHAnsi" w:hAnsiTheme="majorHAnsi"/>
                <w:b/>
              </w:rPr>
              <w:t>Hours per week/FTE</w:t>
            </w:r>
            <w:r w:rsidR="0043113D">
              <w:rPr>
                <w:rFonts w:asciiTheme="majorHAnsi" w:hAnsiTheme="majorHAnsi"/>
              </w:rPr>
              <w:t xml:space="preserve">: </w:t>
            </w:r>
            <w:r w:rsidRPr="00D40CE9">
              <w:rPr>
                <w:rFonts w:asciiTheme="majorHAnsi" w:hAnsiTheme="majorHAnsi"/>
              </w:rPr>
              <w:t>1.0FTE</w:t>
            </w:r>
          </w:p>
        </w:tc>
        <w:tc>
          <w:tcPr>
            <w:tcW w:w="2436" w:type="dxa"/>
            <w:tcBorders>
              <w:top w:val="nil"/>
              <w:left w:val="nil"/>
              <w:bottom w:val="nil"/>
            </w:tcBorders>
            <w:vAlign w:val="center"/>
          </w:tcPr>
          <w:p w:rsidR="00D54156" w:rsidRPr="00D40CE9" w:rsidRDefault="00D54156" w:rsidP="007139CF">
            <w:pPr>
              <w:rPr>
                <w:rFonts w:asciiTheme="majorHAnsi" w:hAnsiTheme="majorHAnsi"/>
              </w:rPr>
            </w:pPr>
            <w:r w:rsidRPr="00D40CE9">
              <w:rPr>
                <w:rFonts w:asciiTheme="majorHAnsi" w:hAnsiTheme="majorHAnsi"/>
                <w:b/>
              </w:rPr>
              <w:t>Weeks per year</w:t>
            </w:r>
            <w:r w:rsidRPr="00D40CE9">
              <w:rPr>
                <w:rFonts w:asciiTheme="majorHAnsi" w:hAnsiTheme="majorHAnsi"/>
              </w:rPr>
              <w:t>:</w:t>
            </w:r>
            <w:r w:rsidRPr="00D40CE9">
              <w:rPr>
                <w:rFonts w:asciiTheme="majorHAnsi" w:hAnsiTheme="majorHAnsi"/>
                <w:b/>
              </w:rPr>
              <w:t xml:space="preserve"> </w:t>
            </w:r>
            <w:r w:rsidRPr="00D40CE9">
              <w:rPr>
                <w:rFonts w:asciiTheme="majorHAnsi" w:hAnsiTheme="majorHAnsi"/>
              </w:rPr>
              <w:t>AYR</w:t>
            </w:r>
          </w:p>
        </w:tc>
      </w:tr>
      <w:tr w:rsidR="00D54156" w:rsidRPr="00D40CE9" w:rsidTr="006E50D8">
        <w:trPr>
          <w:cantSplit/>
          <w:trHeight w:val="368"/>
        </w:trPr>
        <w:tc>
          <w:tcPr>
            <w:tcW w:w="5909" w:type="dxa"/>
            <w:gridSpan w:val="2"/>
            <w:tcBorders>
              <w:top w:val="nil"/>
              <w:bottom w:val="nil"/>
              <w:right w:val="nil"/>
            </w:tcBorders>
            <w:vAlign w:val="center"/>
          </w:tcPr>
          <w:p w:rsidR="00D54156" w:rsidRPr="00D40CE9" w:rsidRDefault="00D54156" w:rsidP="007139CF">
            <w:pPr>
              <w:rPr>
                <w:rFonts w:asciiTheme="majorHAnsi" w:hAnsiTheme="majorHAnsi"/>
                <w:b/>
              </w:rPr>
            </w:pPr>
            <w:r w:rsidRPr="00D40CE9">
              <w:rPr>
                <w:rFonts w:asciiTheme="majorHAnsi" w:hAnsiTheme="majorHAnsi"/>
                <w:b/>
              </w:rPr>
              <w:t>Salary</w:t>
            </w:r>
            <w:r w:rsidRPr="00D40CE9">
              <w:rPr>
                <w:rFonts w:asciiTheme="majorHAnsi" w:hAnsiTheme="majorHAnsi"/>
              </w:rPr>
              <w:t xml:space="preserve">: </w:t>
            </w:r>
            <w:r>
              <w:rPr>
                <w:rFonts w:asciiTheme="majorHAnsi" w:hAnsiTheme="majorHAnsi"/>
              </w:rPr>
              <w:t>Pay Band for Associate Deans</w:t>
            </w:r>
          </w:p>
        </w:tc>
        <w:tc>
          <w:tcPr>
            <w:tcW w:w="4506" w:type="dxa"/>
            <w:gridSpan w:val="2"/>
            <w:tcBorders>
              <w:top w:val="nil"/>
              <w:left w:val="nil"/>
              <w:bottom w:val="nil"/>
            </w:tcBorders>
            <w:vAlign w:val="center"/>
          </w:tcPr>
          <w:p w:rsidR="00D54156" w:rsidRPr="00D40CE9" w:rsidRDefault="00D54156" w:rsidP="007139CF">
            <w:pPr>
              <w:rPr>
                <w:rFonts w:asciiTheme="majorHAnsi" w:hAnsiTheme="majorHAnsi"/>
                <w:b/>
              </w:rPr>
            </w:pPr>
            <w:r w:rsidRPr="00D40CE9">
              <w:rPr>
                <w:rFonts w:asciiTheme="majorHAnsi" w:hAnsiTheme="majorHAnsi"/>
                <w:b/>
              </w:rPr>
              <w:t>Grade</w:t>
            </w:r>
            <w:r w:rsidRPr="00D40CE9">
              <w:rPr>
                <w:rFonts w:asciiTheme="majorHAnsi" w:hAnsiTheme="majorHAnsi"/>
              </w:rPr>
              <w:t>: Individual</w:t>
            </w:r>
          </w:p>
        </w:tc>
      </w:tr>
      <w:tr w:rsidR="00D54156" w:rsidRPr="00D40CE9" w:rsidTr="006E50D8">
        <w:trPr>
          <w:cantSplit/>
          <w:trHeight w:val="368"/>
        </w:trPr>
        <w:tc>
          <w:tcPr>
            <w:tcW w:w="5909" w:type="dxa"/>
            <w:gridSpan w:val="2"/>
            <w:tcBorders>
              <w:top w:val="nil"/>
              <w:right w:val="nil"/>
            </w:tcBorders>
            <w:vAlign w:val="center"/>
          </w:tcPr>
          <w:p w:rsidR="00D54156" w:rsidRPr="00D40CE9" w:rsidRDefault="00D54156" w:rsidP="007139CF">
            <w:pPr>
              <w:rPr>
                <w:rFonts w:asciiTheme="majorHAnsi" w:hAnsiTheme="majorHAnsi"/>
              </w:rPr>
            </w:pPr>
            <w:r w:rsidRPr="00D40CE9">
              <w:rPr>
                <w:rFonts w:asciiTheme="majorHAnsi" w:hAnsiTheme="majorHAnsi"/>
                <w:b/>
                <w:bCs/>
              </w:rPr>
              <w:t>College/Service</w:t>
            </w:r>
            <w:r w:rsidRPr="00D40CE9">
              <w:rPr>
                <w:rFonts w:asciiTheme="majorHAnsi" w:hAnsiTheme="majorHAnsi"/>
              </w:rPr>
              <w:t>: London College of Fashion</w:t>
            </w:r>
          </w:p>
        </w:tc>
        <w:tc>
          <w:tcPr>
            <w:tcW w:w="4506" w:type="dxa"/>
            <w:gridSpan w:val="2"/>
            <w:tcBorders>
              <w:top w:val="nil"/>
              <w:left w:val="nil"/>
            </w:tcBorders>
            <w:vAlign w:val="center"/>
          </w:tcPr>
          <w:p w:rsidR="00D54156" w:rsidRPr="00D45384" w:rsidRDefault="00D54156" w:rsidP="00E64B1D">
            <w:pPr>
              <w:rPr>
                <w:rFonts w:asciiTheme="majorHAnsi" w:hAnsiTheme="majorHAnsi"/>
                <w:b/>
              </w:rPr>
            </w:pPr>
            <w:r w:rsidRPr="00D45384">
              <w:rPr>
                <w:rFonts w:asciiTheme="majorHAnsi" w:hAnsiTheme="majorHAnsi"/>
                <w:b/>
              </w:rPr>
              <w:t>Location</w:t>
            </w:r>
            <w:r w:rsidRPr="00D45384">
              <w:rPr>
                <w:rFonts w:asciiTheme="majorHAnsi" w:hAnsiTheme="majorHAnsi"/>
              </w:rPr>
              <w:t xml:space="preserve">: London College of Fashion </w:t>
            </w:r>
            <w:r w:rsidR="00814BCC">
              <w:rPr>
                <w:rFonts w:asciiTheme="majorHAnsi" w:hAnsiTheme="majorHAnsi"/>
              </w:rPr>
              <w:t>– current sites and Stratford from 2022</w:t>
            </w:r>
          </w:p>
        </w:tc>
      </w:tr>
      <w:tr w:rsidR="00D54156" w:rsidRPr="00D40CE9" w:rsidTr="006E50D8">
        <w:tc>
          <w:tcPr>
            <w:tcW w:w="10415" w:type="dxa"/>
            <w:gridSpan w:val="4"/>
          </w:tcPr>
          <w:p w:rsidR="00D54156" w:rsidRPr="00D40CE9" w:rsidRDefault="00D54156" w:rsidP="007139CF">
            <w:pPr>
              <w:spacing w:after="120"/>
              <w:rPr>
                <w:rFonts w:asciiTheme="majorHAnsi" w:hAnsiTheme="majorHAnsi"/>
              </w:rPr>
            </w:pPr>
            <w:r w:rsidRPr="00D40CE9">
              <w:rPr>
                <w:rFonts w:asciiTheme="majorHAnsi" w:hAnsiTheme="majorHAnsi"/>
                <w:b/>
              </w:rPr>
              <w:t>Purpose of Role:</w:t>
            </w:r>
            <w:r w:rsidRPr="00D40CE9">
              <w:rPr>
                <w:rFonts w:asciiTheme="majorHAnsi" w:hAnsiTheme="majorHAnsi"/>
              </w:rPr>
              <w:t xml:space="preserve"> </w:t>
            </w:r>
          </w:p>
          <w:p w:rsidR="00E64B1D" w:rsidRPr="00E64B1D" w:rsidRDefault="00E64B1D" w:rsidP="00E64B1D">
            <w:pPr>
              <w:spacing w:after="120"/>
              <w:rPr>
                <w:rFonts w:asciiTheme="majorHAnsi" w:hAnsiTheme="majorHAnsi"/>
              </w:rPr>
            </w:pPr>
            <w:r w:rsidRPr="00E64B1D">
              <w:rPr>
                <w:rFonts w:asciiTheme="majorHAnsi" w:hAnsiTheme="majorHAnsi"/>
              </w:rPr>
              <w:t xml:space="preserve">To be academic lead for the enhancement of the student experience as it relates to the organisation and management of the College’s academic provision, student engagement and communication.  </w:t>
            </w:r>
          </w:p>
          <w:p w:rsidR="00E64B1D" w:rsidRPr="00E64B1D" w:rsidRDefault="00E64B1D" w:rsidP="00E64B1D">
            <w:pPr>
              <w:spacing w:after="120"/>
              <w:rPr>
                <w:rFonts w:asciiTheme="majorHAnsi" w:hAnsiTheme="majorHAnsi"/>
              </w:rPr>
            </w:pPr>
            <w:r w:rsidRPr="00E64B1D">
              <w:rPr>
                <w:rFonts w:asciiTheme="majorHAnsi" w:hAnsiTheme="majorHAnsi"/>
              </w:rPr>
              <w:t xml:space="preserve">Ahead of the move to Stratford to lead a work stream of activity to enhance the student experience in alignment to UAL Academic Strategy and projects and the 4Fashion project. </w:t>
            </w:r>
          </w:p>
          <w:p w:rsidR="00D54156" w:rsidRPr="00D40CE9" w:rsidRDefault="00E64B1D" w:rsidP="00E64B1D">
            <w:pPr>
              <w:spacing w:after="120"/>
              <w:rPr>
                <w:rFonts w:asciiTheme="majorHAnsi" w:hAnsiTheme="majorHAnsi"/>
                <w:b/>
              </w:rPr>
            </w:pPr>
            <w:r w:rsidRPr="00E64B1D">
              <w:rPr>
                <w:rFonts w:asciiTheme="majorHAnsi" w:hAnsiTheme="majorHAnsi"/>
              </w:rPr>
              <w:t>To work closely with the LCF Schools and Associate Dean of Teaching, Learning and Enhancement to identify developments to support improved student attainment, retention, continuation as well as improving the College’s student satisfaction metrics at both undergraduate and postgraduate levels.</w:t>
            </w:r>
          </w:p>
        </w:tc>
      </w:tr>
      <w:tr w:rsidR="00D54156" w:rsidRPr="00D40CE9" w:rsidTr="006E50D8">
        <w:tc>
          <w:tcPr>
            <w:tcW w:w="10415" w:type="dxa"/>
            <w:gridSpan w:val="4"/>
          </w:tcPr>
          <w:p w:rsidR="00D54156" w:rsidRPr="00E64B1D" w:rsidRDefault="00D54156" w:rsidP="00814BCC">
            <w:pPr>
              <w:contextualSpacing/>
              <w:rPr>
                <w:rFonts w:asciiTheme="majorHAnsi" w:hAnsiTheme="majorHAnsi"/>
              </w:rPr>
            </w:pPr>
            <w:r w:rsidRPr="00E64B1D">
              <w:rPr>
                <w:rFonts w:asciiTheme="majorHAnsi" w:hAnsiTheme="majorHAnsi"/>
              </w:rPr>
              <w:t>Duties and Responsibilities:</w:t>
            </w:r>
          </w:p>
          <w:p w:rsidR="00D54156" w:rsidRPr="00E64B1D" w:rsidRDefault="00D54156" w:rsidP="00814BCC">
            <w:pPr>
              <w:contextualSpacing/>
              <w:rPr>
                <w:rFonts w:asciiTheme="majorHAnsi" w:hAnsiTheme="majorHAnsi" w:cs="Arial"/>
              </w:rPr>
            </w:pPr>
          </w:p>
          <w:p w:rsidR="00E64B1D" w:rsidRPr="00E64B1D" w:rsidRDefault="00E64B1D" w:rsidP="00814BCC">
            <w:pPr>
              <w:spacing w:after="120"/>
              <w:contextualSpacing/>
              <w:rPr>
                <w:rFonts w:asciiTheme="majorHAnsi" w:hAnsiTheme="majorHAnsi"/>
              </w:rPr>
            </w:pPr>
            <w:r w:rsidRPr="00E64B1D">
              <w:rPr>
                <w:rFonts w:asciiTheme="majorHAnsi" w:hAnsiTheme="majorHAnsi"/>
              </w:rPr>
              <w:t xml:space="preserve">Leadership and Management: </w:t>
            </w:r>
          </w:p>
          <w:p w:rsidR="00E64B1D" w:rsidRPr="00E64B1D" w:rsidRDefault="00E64B1D" w:rsidP="00814BCC">
            <w:pPr>
              <w:contextualSpacing/>
              <w:rPr>
                <w:rFonts w:asciiTheme="majorHAnsi" w:hAnsiTheme="majorHAnsi"/>
              </w:rPr>
            </w:pPr>
          </w:p>
          <w:p w:rsidR="00E64B1D" w:rsidRPr="00E64B1D" w:rsidRDefault="00E64B1D" w:rsidP="00814BCC">
            <w:pPr>
              <w:numPr>
                <w:ilvl w:val="0"/>
                <w:numId w:val="1"/>
              </w:numPr>
              <w:spacing w:after="120"/>
              <w:contextualSpacing/>
              <w:rPr>
                <w:rFonts w:asciiTheme="majorHAnsi" w:hAnsiTheme="majorHAnsi"/>
              </w:rPr>
            </w:pPr>
            <w:r w:rsidRPr="00E64B1D">
              <w:rPr>
                <w:rFonts w:asciiTheme="majorHAnsi" w:hAnsiTheme="majorHAnsi"/>
              </w:rPr>
              <w:t>To lead the development and implementation of the College’s plans for improving the student experience, providing guidance on the alignment of ambition, expectation and resources to the greatest effect.</w:t>
            </w:r>
          </w:p>
          <w:p w:rsidR="00E64B1D" w:rsidRPr="00E64B1D" w:rsidRDefault="00E64B1D" w:rsidP="00814BCC">
            <w:pPr>
              <w:spacing w:after="120"/>
              <w:ind w:left="360"/>
              <w:contextualSpacing/>
              <w:rPr>
                <w:rFonts w:asciiTheme="majorHAnsi" w:hAnsiTheme="majorHAnsi"/>
              </w:rPr>
            </w:pPr>
          </w:p>
          <w:p w:rsidR="00E64B1D" w:rsidRPr="00E64B1D" w:rsidRDefault="00E64B1D" w:rsidP="00814BCC">
            <w:pPr>
              <w:numPr>
                <w:ilvl w:val="0"/>
                <w:numId w:val="1"/>
              </w:numPr>
              <w:spacing w:after="120"/>
              <w:contextualSpacing/>
              <w:rPr>
                <w:rFonts w:asciiTheme="majorHAnsi" w:hAnsiTheme="majorHAnsi"/>
              </w:rPr>
            </w:pPr>
            <w:r w:rsidRPr="00E64B1D">
              <w:rPr>
                <w:rFonts w:asciiTheme="majorHAnsi" w:hAnsiTheme="majorHAnsi"/>
              </w:rPr>
              <w:t xml:space="preserve">To contribute to the development of the University’s strategies for enhancing student experience and engagement of students. </w:t>
            </w:r>
          </w:p>
          <w:p w:rsidR="00E64B1D" w:rsidRPr="00E64B1D" w:rsidRDefault="00E64B1D" w:rsidP="00814BCC">
            <w:pPr>
              <w:spacing w:after="120"/>
              <w:ind w:left="360"/>
              <w:contextualSpacing/>
              <w:rPr>
                <w:rFonts w:asciiTheme="majorHAnsi" w:hAnsiTheme="majorHAnsi"/>
              </w:rPr>
            </w:pPr>
          </w:p>
          <w:p w:rsidR="00E64B1D" w:rsidRPr="00E64B1D" w:rsidRDefault="00E64B1D" w:rsidP="00814BCC">
            <w:pPr>
              <w:numPr>
                <w:ilvl w:val="0"/>
                <w:numId w:val="1"/>
              </w:numPr>
              <w:spacing w:after="120"/>
              <w:contextualSpacing/>
              <w:rPr>
                <w:rFonts w:asciiTheme="majorHAnsi" w:hAnsiTheme="majorHAnsi"/>
              </w:rPr>
            </w:pPr>
            <w:r w:rsidRPr="00E64B1D">
              <w:rPr>
                <w:rFonts w:asciiTheme="majorHAnsi" w:hAnsiTheme="majorHAnsi"/>
              </w:rPr>
              <w:t>To embed equality, diversity and inclusivity in all approaches to the enhancement of student experience and to lead the implementation of an inclusive curriculum.</w:t>
            </w:r>
          </w:p>
          <w:p w:rsidR="00E64B1D" w:rsidRPr="00E64B1D" w:rsidRDefault="00E64B1D" w:rsidP="00814BCC">
            <w:pPr>
              <w:ind w:left="360"/>
              <w:contextualSpacing/>
              <w:rPr>
                <w:rFonts w:asciiTheme="majorHAnsi" w:hAnsiTheme="majorHAnsi"/>
              </w:rPr>
            </w:pPr>
          </w:p>
          <w:p w:rsidR="00E64B1D" w:rsidRPr="00E64B1D" w:rsidRDefault="00E64B1D" w:rsidP="00814BCC">
            <w:pPr>
              <w:numPr>
                <w:ilvl w:val="0"/>
                <w:numId w:val="1"/>
              </w:numPr>
              <w:contextualSpacing/>
              <w:rPr>
                <w:rFonts w:asciiTheme="majorHAnsi" w:hAnsiTheme="majorHAnsi"/>
              </w:rPr>
            </w:pPr>
            <w:r w:rsidRPr="00E64B1D">
              <w:rPr>
                <w:rFonts w:asciiTheme="majorHAnsi" w:hAnsiTheme="majorHAnsi"/>
              </w:rPr>
              <w:t>To contribute to University initiatives to promote good practice in the organisation and management of the student experience, the engagement of students and equality, diversity and inclusivity.</w:t>
            </w:r>
          </w:p>
          <w:p w:rsidR="00E64B1D" w:rsidRPr="00E64B1D" w:rsidRDefault="00E64B1D" w:rsidP="00814BCC">
            <w:pPr>
              <w:ind w:left="360"/>
              <w:rPr>
                <w:rFonts w:asciiTheme="majorHAnsi" w:hAnsiTheme="majorHAnsi"/>
              </w:rPr>
            </w:pPr>
          </w:p>
          <w:p w:rsidR="00E64B1D" w:rsidRPr="00E64B1D" w:rsidRDefault="00E64B1D" w:rsidP="00814BCC">
            <w:pPr>
              <w:numPr>
                <w:ilvl w:val="0"/>
                <w:numId w:val="1"/>
              </w:numPr>
              <w:rPr>
                <w:rFonts w:asciiTheme="majorHAnsi" w:hAnsiTheme="majorHAnsi"/>
              </w:rPr>
            </w:pPr>
            <w:r w:rsidRPr="00E64B1D">
              <w:rPr>
                <w:rFonts w:asciiTheme="majorHAnsi" w:hAnsiTheme="majorHAnsi"/>
              </w:rPr>
              <w:t>To lead the College’s work in ensuring the accurate and clear articulation of course provision to applicants and students (e.g. KIS, course descriptions, Unit briefing, etc.).</w:t>
            </w:r>
          </w:p>
          <w:p w:rsidR="00E64B1D" w:rsidRPr="00E64B1D" w:rsidRDefault="00E64B1D" w:rsidP="00814BCC">
            <w:pPr>
              <w:ind w:left="360"/>
              <w:rPr>
                <w:rFonts w:asciiTheme="majorHAnsi" w:hAnsiTheme="majorHAnsi"/>
              </w:rPr>
            </w:pPr>
          </w:p>
          <w:p w:rsidR="00E64B1D" w:rsidRPr="00E64B1D" w:rsidRDefault="00E64B1D" w:rsidP="00814BCC">
            <w:pPr>
              <w:numPr>
                <w:ilvl w:val="0"/>
                <w:numId w:val="1"/>
              </w:numPr>
              <w:rPr>
                <w:rFonts w:asciiTheme="majorHAnsi" w:hAnsiTheme="majorHAnsi"/>
              </w:rPr>
            </w:pPr>
            <w:r w:rsidRPr="00E64B1D">
              <w:rPr>
                <w:rFonts w:asciiTheme="majorHAnsi" w:hAnsiTheme="majorHAnsi"/>
              </w:rPr>
              <w:t>Provide oversight to LCF Executive for University Student Survey (USS)/ NSS &amp; PTES responses and Unit Evaluations; identifying key issues and action points as well as development /improvement strategies. Co-ordinate and support academic staff in the implementation of recommendations</w:t>
            </w:r>
          </w:p>
          <w:p w:rsidR="00E64B1D" w:rsidRPr="00E64B1D" w:rsidRDefault="00E64B1D" w:rsidP="00814BCC">
            <w:pPr>
              <w:ind w:left="360"/>
              <w:rPr>
                <w:rFonts w:asciiTheme="majorHAnsi" w:hAnsiTheme="majorHAnsi"/>
              </w:rPr>
            </w:pPr>
          </w:p>
          <w:p w:rsidR="00E64B1D" w:rsidRPr="00E64B1D" w:rsidRDefault="00E64B1D" w:rsidP="00814BCC">
            <w:pPr>
              <w:numPr>
                <w:ilvl w:val="0"/>
                <w:numId w:val="1"/>
              </w:numPr>
              <w:rPr>
                <w:rFonts w:asciiTheme="majorHAnsi" w:hAnsiTheme="majorHAnsi"/>
              </w:rPr>
            </w:pPr>
            <w:r w:rsidRPr="00E64B1D">
              <w:rPr>
                <w:rFonts w:asciiTheme="majorHAnsi" w:hAnsiTheme="majorHAnsi"/>
              </w:rPr>
              <w:t xml:space="preserve">Provide oversight to LCF Executive for DLHE and employability metrics, identifying key issues and action points as well as development /improvement strategies. Co-ordinate and support academic staff in the implementation of recommendations. </w:t>
            </w:r>
          </w:p>
          <w:p w:rsidR="00E64B1D" w:rsidRPr="00E64B1D" w:rsidRDefault="00E64B1D" w:rsidP="00814BCC">
            <w:pPr>
              <w:contextualSpacing/>
              <w:rPr>
                <w:rFonts w:asciiTheme="majorHAnsi" w:hAnsiTheme="majorHAnsi"/>
              </w:rPr>
            </w:pPr>
          </w:p>
          <w:p w:rsidR="00E64B1D" w:rsidRPr="00E64B1D" w:rsidRDefault="00E64B1D" w:rsidP="00814BCC">
            <w:pPr>
              <w:contextualSpacing/>
              <w:rPr>
                <w:rFonts w:asciiTheme="majorHAnsi" w:hAnsiTheme="majorHAnsi"/>
              </w:rPr>
            </w:pPr>
            <w:r w:rsidRPr="00E64B1D">
              <w:rPr>
                <w:rFonts w:asciiTheme="majorHAnsi" w:hAnsiTheme="majorHAnsi"/>
              </w:rPr>
              <w:lastRenderedPageBreak/>
              <w:t>Enhancement of student experience</w:t>
            </w:r>
            <w:r>
              <w:rPr>
                <w:rFonts w:asciiTheme="majorHAnsi" w:hAnsiTheme="majorHAnsi"/>
              </w:rPr>
              <w:t>:</w:t>
            </w:r>
          </w:p>
          <w:p w:rsidR="00E64B1D" w:rsidRPr="00E64B1D" w:rsidRDefault="00E64B1D" w:rsidP="00814BCC">
            <w:pPr>
              <w:spacing w:after="120"/>
              <w:ind w:left="357"/>
              <w:contextualSpacing/>
              <w:rPr>
                <w:rFonts w:asciiTheme="majorHAnsi" w:hAnsiTheme="majorHAnsi"/>
              </w:rPr>
            </w:pPr>
          </w:p>
          <w:p w:rsidR="00E64B1D" w:rsidRPr="00E64B1D" w:rsidRDefault="00E64B1D" w:rsidP="00814BCC">
            <w:pPr>
              <w:spacing w:after="120"/>
              <w:contextualSpacing/>
              <w:rPr>
                <w:rFonts w:asciiTheme="majorHAnsi" w:hAnsiTheme="majorHAnsi"/>
              </w:rPr>
            </w:pPr>
            <w:r>
              <w:rPr>
                <w:rFonts w:asciiTheme="majorHAnsi" w:hAnsiTheme="majorHAnsi"/>
              </w:rPr>
              <w:t>•</w:t>
            </w:r>
            <w:r w:rsidRPr="00E64B1D">
              <w:rPr>
                <w:rFonts w:asciiTheme="majorHAnsi" w:hAnsiTheme="majorHAnsi"/>
              </w:rPr>
              <w:t>To identify issues emerging from national and University student surveys relating to course organisation, management and communication, and formulate action plans in response to these issues.</w:t>
            </w:r>
          </w:p>
          <w:p w:rsidR="00E64B1D" w:rsidRPr="00E64B1D" w:rsidRDefault="00E64B1D" w:rsidP="00814BCC">
            <w:pPr>
              <w:spacing w:after="120"/>
              <w:ind w:left="357"/>
              <w:contextualSpacing/>
              <w:rPr>
                <w:rFonts w:asciiTheme="majorHAnsi" w:hAnsiTheme="majorHAnsi"/>
              </w:rPr>
            </w:pPr>
          </w:p>
          <w:p w:rsidR="00E64B1D" w:rsidRPr="00E64B1D" w:rsidRDefault="00E64B1D" w:rsidP="00814BCC">
            <w:pPr>
              <w:rPr>
                <w:rFonts w:asciiTheme="majorHAnsi" w:hAnsiTheme="majorHAnsi"/>
              </w:rPr>
            </w:pPr>
            <w:r>
              <w:rPr>
                <w:rFonts w:asciiTheme="majorHAnsi" w:hAnsiTheme="majorHAnsi"/>
              </w:rPr>
              <w:t>•</w:t>
            </w:r>
            <w:r w:rsidRPr="00E64B1D">
              <w:rPr>
                <w:rFonts w:asciiTheme="majorHAnsi" w:hAnsiTheme="majorHAnsi"/>
              </w:rPr>
              <w:t>To identify and evaluate good practice in course organisation, management, inclusivity, communication and student engagement, and promote its adoption across the College.</w:t>
            </w:r>
          </w:p>
          <w:p w:rsidR="00E64B1D" w:rsidRPr="00E64B1D" w:rsidRDefault="00E64B1D" w:rsidP="00814BCC">
            <w:pPr>
              <w:ind w:left="357"/>
              <w:rPr>
                <w:rFonts w:asciiTheme="majorHAnsi" w:hAnsiTheme="majorHAnsi"/>
              </w:rPr>
            </w:pPr>
          </w:p>
          <w:p w:rsidR="00E64B1D" w:rsidRPr="00E64B1D" w:rsidRDefault="00E64B1D" w:rsidP="00814BCC">
            <w:pPr>
              <w:rPr>
                <w:rFonts w:asciiTheme="majorHAnsi" w:hAnsiTheme="majorHAnsi"/>
              </w:rPr>
            </w:pPr>
            <w:r>
              <w:rPr>
                <w:rFonts w:asciiTheme="majorHAnsi" w:hAnsiTheme="majorHAnsi"/>
              </w:rPr>
              <w:t>•</w:t>
            </w:r>
            <w:r w:rsidRPr="00E64B1D">
              <w:rPr>
                <w:rFonts w:asciiTheme="majorHAnsi" w:hAnsiTheme="majorHAnsi"/>
              </w:rPr>
              <w:t>To monitor student complaints, appeals and extenuating circumstances claims with a view to identifying recurrent issues requiring a systemic or structural response and co-ordinating action with relevant colleagues.</w:t>
            </w:r>
          </w:p>
          <w:p w:rsidR="00E64B1D" w:rsidRPr="00E64B1D" w:rsidRDefault="00E64B1D" w:rsidP="00814BCC">
            <w:pPr>
              <w:ind w:left="357"/>
              <w:rPr>
                <w:rFonts w:asciiTheme="majorHAnsi" w:hAnsiTheme="majorHAnsi"/>
              </w:rPr>
            </w:pPr>
          </w:p>
          <w:p w:rsidR="00E64B1D" w:rsidRPr="00E64B1D" w:rsidRDefault="00E64B1D" w:rsidP="00814BCC">
            <w:pPr>
              <w:rPr>
                <w:rFonts w:asciiTheme="majorHAnsi" w:hAnsiTheme="majorHAnsi"/>
              </w:rPr>
            </w:pPr>
            <w:r>
              <w:rPr>
                <w:rFonts w:asciiTheme="majorHAnsi" w:hAnsiTheme="majorHAnsi"/>
              </w:rPr>
              <w:t>•</w:t>
            </w:r>
            <w:r w:rsidRPr="00E64B1D">
              <w:rPr>
                <w:rFonts w:asciiTheme="majorHAnsi" w:hAnsiTheme="majorHAnsi"/>
              </w:rPr>
              <w:t xml:space="preserve">Work with colleagues in cross college groups or with specific course and programme teams to improve practice in course organisation and management, student engagement and inclusivity. </w:t>
            </w:r>
          </w:p>
          <w:p w:rsidR="00E64B1D" w:rsidRPr="00E64B1D" w:rsidRDefault="00E64B1D" w:rsidP="00814BCC">
            <w:pPr>
              <w:ind w:left="357"/>
              <w:rPr>
                <w:rFonts w:asciiTheme="majorHAnsi" w:hAnsiTheme="majorHAnsi"/>
              </w:rPr>
            </w:pPr>
          </w:p>
          <w:p w:rsidR="00E64B1D" w:rsidRPr="00E64B1D" w:rsidRDefault="00E64B1D" w:rsidP="00814BCC">
            <w:pPr>
              <w:rPr>
                <w:rFonts w:asciiTheme="majorHAnsi" w:hAnsiTheme="majorHAnsi"/>
              </w:rPr>
            </w:pPr>
            <w:r>
              <w:rPr>
                <w:rFonts w:asciiTheme="majorHAnsi" w:hAnsiTheme="majorHAnsi"/>
              </w:rPr>
              <w:t>•</w:t>
            </w:r>
            <w:r w:rsidRPr="00E64B1D">
              <w:rPr>
                <w:rFonts w:asciiTheme="majorHAnsi" w:hAnsiTheme="majorHAnsi"/>
              </w:rPr>
              <w:t>Work in partnership with students directly and through the Students’ Union to promote their engagement in the continuous improvement of their experience of the wider College and University.</w:t>
            </w:r>
          </w:p>
          <w:p w:rsidR="00E64B1D" w:rsidRPr="00E64B1D" w:rsidRDefault="00E64B1D" w:rsidP="00814BCC">
            <w:pPr>
              <w:ind w:left="357"/>
              <w:rPr>
                <w:rFonts w:asciiTheme="majorHAnsi" w:hAnsiTheme="majorHAnsi"/>
              </w:rPr>
            </w:pPr>
          </w:p>
          <w:p w:rsidR="00E64B1D" w:rsidRPr="00E64B1D" w:rsidRDefault="00E64B1D" w:rsidP="00814BCC">
            <w:pPr>
              <w:rPr>
                <w:rFonts w:asciiTheme="majorHAnsi" w:hAnsiTheme="majorHAnsi"/>
              </w:rPr>
            </w:pPr>
            <w:r>
              <w:rPr>
                <w:rFonts w:asciiTheme="majorHAnsi" w:hAnsiTheme="majorHAnsi"/>
              </w:rPr>
              <w:t>•</w:t>
            </w:r>
            <w:r w:rsidRPr="00E64B1D">
              <w:rPr>
                <w:rFonts w:asciiTheme="majorHAnsi" w:hAnsiTheme="majorHAnsi"/>
              </w:rPr>
              <w:t>To encourage the use of digital tools in course organisation, management and communications where they lead to greater efficiency, effect or improved experience.</w:t>
            </w:r>
          </w:p>
          <w:p w:rsidR="00E64B1D" w:rsidRPr="00E64B1D" w:rsidRDefault="00E64B1D" w:rsidP="00814BCC">
            <w:pPr>
              <w:ind w:left="357"/>
              <w:rPr>
                <w:rFonts w:asciiTheme="majorHAnsi" w:hAnsiTheme="majorHAnsi"/>
              </w:rPr>
            </w:pPr>
          </w:p>
          <w:p w:rsidR="00E64B1D" w:rsidRPr="00E64B1D" w:rsidRDefault="00E64B1D" w:rsidP="00814BCC">
            <w:pPr>
              <w:rPr>
                <w:rFonts w:asciiTheme="majorHAnsi" w:hAnsiTheme="majorHAnsi"/>
              </w:rPr>
            </w:pPr>
            <w:r>
              <w:rPr>
                <w:rFonts w:asciiTheme="majorHAnsi" w:hAnsiTheme="majorHAnsi"/>
              </w:rPr>
              <w:t>•</w:t>
            </w:r>
            <w:r w:rsidRPr="00E64B1D">
              <w:rPr>
                <w:rFonts w:asciiTheme="majorHAnsi" w:hAnsiTheme="majorHAnsi"/>
              </w:rPr>
              <w:t>To contribute to the delivery of College-wide staff development in relation to student experience, student engagement, communication and inclusivity.</w:t>
            </w:r>
          </w:p>
          <w:p w:rsidR="00E64B1D" w:rsidRPr="00E64B1D" w:rsidRDefault="00E64B1D" w:rsidP="00814BCC">
            <w:pPr>
              <w:ind w:left="357"/>
              <w:rPr>
                <w:rFonts w:asciiTheme="majorHAnsi" w:hAnsiTheme="majorHAnsi"/>
              </w:rPr>
            </w:pPr>
          </w:p>
          <w:p w:rsidR="00E64B1D" w:rsidRPr="00E64B1D" w:rsidRDefault="00E64B1D" w:rsidP="00814BCC">
            <w:pPr>
              <w:rPr>
                <w:rFonts w:asciiTheme="majorHAnsi" w:hAnsiTheme="majorHAnsi"/>
              </w:rPr>
            </w:pPr>
            <w:r>
              <w:rPr>
                <w:rFonts w:asciiTheme="majorHAnsi" w:hAnsiTheme="majorHAnsi"/>
              </w:rPr>
              <w:t>•</w:t>
            </w:r>
            <w:r w:rsidRPr="00E64B1D">
              <w:rPr>
                <w:rFonts w:asciiTheme="majorHAnsi" w:hAnsiTheme="majorHAnsi"/>
              </w:rPr>
              <w:t>To contribute to the improvement of applicants’ pre-arrival experience, and of students’ orientation and induction.</w:t>
            </w:r>
          </w:p>
          <w:p w:rsidR="00E64B1D" w:rsidRPr="00E64B1D" w:rsidRDefault="00E64B1D" w:rsidP="00814BCC">
            <w:pPr>
              <w:ind w:left="357"/>
              <w:rPr>
                <w:rFonts w:asciiTheme="majorHAnsi" w:hAnsiTheme="majorHAnsi"/>
              </w:rPr>
            </w:pPr>
          </w:p>
          <w:p w:rsidR="00E64B1D" w:rsidRPr="00E64B1D" w:rsidRDefault="00E64B1D" w:rsidP="00814BCC">
            <w:pPr>
              <w:rPr>
                <w:rFonts w:asciiTheme="majorHAnsi" w:hAnsiTheme="majorHAnsi"/>
              </w:rPr>
            </w:pPr>
            <w:r>
              <w:rPr>
                <w:rFonts w:asciiTheme="majorHAnsi" w:hAnsiTheme="majorHAnsi"/>
              </w:rPr>
              <w:t>•</w:t>
            </w:r>
            <w:r w:rsidRPr="00E64B1D">
              <w:rPr>
                <w:rFonts w:asciiTheme="majorHAnsi" w:hAnsiTheme="majorHAnsi"/>
              </w:rPr>
              <w:t>Lead and manage the Internationalisation of the curriculum, ensuring the accessibility of course programmes for International students and liaising with academic staff to achieve this (in particular Programme Directors and Course Leaders).</w:t>
            </w:r>
          </w:p>
          <w:p w:rsidR="00E64B1D" w:rsidRPr="00E64B1D" w:rsidRDefault="00E64B1D" w:rsidP="00814BCC">
            <w:pPr>
              <w:ind w:left="357"/>
              <w:rPr>
                <w:rFonts w:asciiTheme="majorHAnsi" w:hAnsiTheme="majorHAnsi"/>
              </w:rPr>
            </w:pPr>
          </w:p>
          <w:p w:rsidR="00E64B1D" w:rsidRPr="00E64B1D" w:rsidRDefault="00E64B1D" w:rsidP="00814BCC">
            <w:pPr>
              <w:rPr>
                <w:rFonts w:asciiTheme="majorHAnsi" w:hAnsiTheme="majorHAnsi"/>
              </w:rPr>
            </w:pPr>
            <w:r w:rsidRPr="00E64B1D">
              <w:rPr>
                <w:rFonts w:asciiTheme="majorHAnsi" w:hAnsiTheme="majorHAnsi"/>
              </w:rPr>
              <w:t>•Lead the development and implementation of the Creative Attributes Framework (CAF) in relation to learning outcomes and assessment strategies both in the context of LCF assessment/ attainment data and innovations in teaching and learning practice.</w:t>
            </w:r>
          </w:p>
          <w:p w:rsidR="00E64B1D" w:rsidRPr="00E64B1D" w:rsidRDefault="00E64B1D" w:rsidP="00814BCC">
            <w:pPr>
              <w:ind w:left="357"/>
              <w:rPr>
                <w:rFonts w:asciiTheme="majorHAnsi" w:hAnsiTheme="majorHAnsi"/>
              </w:rPr>
            </w:pPr>
          </w:p>
          <w:p w:rsidR="00E64B1D" w:rsidRPr="00E64B1D" w:rsidRDefault="00E64B1D" w:rsidP="00814BCC">
            <w:pPr>
              <w:rPr>
                <w:rFonts w:asciiTheme="majorHAnsi" w:hAnsiTheme="majorHAnsi"/>
              </w:rPr>
            </w:pPr>
            <w:r>
              <w:rPr>
                <w:rFonts w:asciiTheme="majorHAnsi" w:hAnsiTheme="majorHAnsi"/>
              </w:rPr>
              <w:t>•</w:t>
            </w:r>
            <w:r w:rsidRPr="00E64B1D">
              <w:rPr>
                <w:rFonts w:asciiTheme="majorHAnsi" w:hAnsiTheme="majorHAnsi"/>
              </w:rPr>
              <w:t>Chair College committees or groups related to student experience and represent LCF at relevant UAL committees and meetings.</w:t>
            </w:r>
          </w:p>
          <w:p w:rsidR="00E64B1D" w:rsidRDefault="00E64B1D" w:rsidP="00814BCC">
            <w:pPr>
              <w:ind w:left="357"/>
              <w:rPr>
                <w:rFonts w:asciiTheme="majorHAnsi" w:hAnsiTheme="majorHAnsi"/>
              </w:rPr>
            </w:pPr>
          </w:p>
          <w:p w:rsidR="00E64B1D" w:rsidRPr="00E64B1D" w:rsidRDefault="00E64B1D" w:rsidP="00814BCC">
            <w:pPr>
              <w:rPr>
                <w:rFonts w:asciiTheme="majorHAnsi" w:hAnsiTheme="majorHAnsi"/>
              </w:rPr>
            </w:pPr>
            <w:r w:rsidRPr="00E64B1D">
              <w:rPr>
                <w:rFonts w:asciiTheme="majorHAnsi" w:hAnsiTheme="majorHAnsi"/>
              </w:rPr>
              <w:t>General</w:t>
            </w:r>
            <w:r>
              <w:rPr>
                <w:rFonts w:asciiTheme="majorHAnsi" w:hAnsiTheme="majorHAnsi"/>
              </w:rPr>
              <w:t>:</w:t>
            </w:r>
          </w:p>
          <w:p w:rsidR="00E64B1D" w:rsidRPr="00E64B1D" w:rsidRDefault="00E64B1D" w:rsidP="00814BCC">
            <w:pPr>
              <w:ind w:left="357"/>
              <w:rPr>
                <w:rFonts w:asciiTheme="majorHAnsi" w:hAnsiTheme="majorHAnsi"/>
              </w:rPr>
            </w:pPr>
          </w:p>
          <w:p w:rsidR="00E64B1D" w:rsidRPr="00E64B1D" w:rsidRDefault="00E64B1D" w:rsidP="00814BCC">
            <w:pPr>
              <w:rPr>
                <w:rFonts w:asciiTheme="majorHAnsi" w:hAnsiTheme="majorHAnsi"/>
              </w:rPr>
            </w:pPr>
            <w:r>
              <w:rPr>
                <w:rFonts w:asciiTheme="majorHAnsi" w:hAnsiTheme="majorHAnsi"/>
              </w:rPr>
              <w:t>•</w:t>
            </w:r>
            <w:r w:rsidRPr="00E64B1D">
              <w:rPr>
                <w:rFonts w:asciiTheme="majorHAnsi" w:hAnsiTheme="majorHAnsi"/>
              </w:rPr>
              <w:t>To undertake teaching which draws on your own areas of specialism to ensure you maintain current experience of learning and assessment, and provide examples of good practice to colleagues.</w:t>
            </w:r>
          </w:p>
          <w:p w:rsidR="00E64B1D" w:rsidRPr="00E64B1D" w:rsidRDefault="00E64B1D" w:rsidP="00814BCC">
            <w:pPr>
              <w:ind w:left="357"/>
              <w:rPr>
                <w:rFonts w:asciiTheme="majorHAnsi" w:hAnsiTheme="majorHAnsi"/>
              </w:rPr>
            </w:pPr>
          </w:p>
          <w:p w:rsidR="00E64B1D" w:rsidRPr="00E64B1D" w:rsidRDefault="00E64B1D" w:rsidP="00814BCC">
            <w:pPr>
              <w:rPr>
                <w:rFonts w:asciiTheme="majorHAnsi" w:hAnsiTheme="majorHAnsi"/>
              </w:rPr>
            </w:pPr>
            <w:r>
              <w:rPr>
                <w:rFonts w:asciiTheme="majorHAnsi" w:hAnsiTheme="majorHAnsi"/>
              </w:rPr>
              <w:t>•</w:t>
            </w:r>
            <w:r w:rsidRPr="00E64B1D">
              <w:rPr>
                <w:rFonts w:asciiTheme="majorHAnsi" w:hAnsiTheme="majorHAnsi"/>
              </w:rPr>
              <w:t>Contribute to the effective leadership and efficient management of the College by being an active member of College management teams appropriate to your area of responsibility.</w:t>
            </w:r>
          </w:p>
          <w:p w:rsidR="00E64B1D" w:rsidRPr="00E64B1D" w:rsidRDefault="00E64B1D" w:rsidP="00814BCC">
            <w:pPr>
              <w:ind w:left="357"/>
              <w:rPr>
                <w:rFonts w:asciiTheme="majorHAnsi" w:hAnsiTheme="majorHAnsi"/>
              </w:rPr>
            </w:pPr>
          </w:p>
          <w:p w:rsidR="00E64B1D" w:rsidRPr="00E64B1D" w:rsidRDefault="00E64B1D" w:rsidP="00814BCC">
            <w:pPr>
              <w:rPr>
                <w:rFonts w:asciiTheme="majorHAnsi" w:hAnsiTheme="majorHAnsi"/>
              </w:rPr>
            </w:pPr>
            <w:r>
              <w:rPr>
                <w:rFonts w:asciiTheme="majorHAnsi" w:hAnsiTheme="majorHAnsi"/>
              </w:rPr>
              <w:t>•</w:t>
            </w:r>
            <w:r w:rsidRPr="00E64B1D">
              <w:rPr>
                <w:rFonts w:asciiTheme="majorHAnsi" w:hAnsiTheme="majorHAnsi"/>
              </w:rPr>
              <w:t>To undertake health and safety duties and responsibilities appropriate to the role.</w:t>
            </w:r>
          </w:p>
          <w:p w:rsidR="00E64B1D" w:rsidRPr="00E64B1D" w:rsidRDefault="00E64B1D" w:rsidP="00814BCC">
            <w:pPr>
              <w:ind w:left="357"/>
              <w:rPr>
                <w:rFonts w:asciiTheme="majorHAnsi" w:hAnsiTheme="majorHAnsi"/>
              </w:rPr>
            </w:pPr>
          </w:p>
          <w:p w:rsidR="00E64B1D" w:rsidRPr="00E64B1D" w:rsidRDefault="00E64B1D" w:rsidP="00814BCC">
            <w:pPr>
              <w:rPr>
                <w:rFonts w:asciiTheme="majorHAnsi" w:hAnsiTheme="majorHAnsi"/>
              </w:rPr>
            </w:pPr>
            <w:r>
              <w:rPr>
                <w:rFonts w:asciiTheme="majorHAnsi" w:hAnsiTheme="majorHAnsi"/>
              </w:rPr>
              <w:t>•</w:t>
            </w:r>
            <w:r w:rsidRPr="00E64B1D">
              <w:rPr>
                <w:rFonts w:asciiTheme="majorHAnsi" w:hAnsiTheme="majorHAnsi"/>
              </w:rPr>
              <w:t>To personally contribute towards reducing the university’s impact on the environment and support actions associated with the UAL Sustainability Manifesto (2016 – 2022)</w:t>
            </w:r>
          </w:p>
          <w:p w:rsidR="00E64B1D" w:rsidRPr="00E64B1D" w:rsidRDefault="00E64B1D" w:rsidP="00814BCC">
            <w:pPr>
              <w:ind w:left="357"/>
              <w:rPr>
                <w:rFonts w:asciiTheme="majorHAnsi" w:hAnsiTheme="majorHAnsi"/>
              </w:rPr>
            </w:pPr>
          </w:p>
          <w:p w:rsidR="00E64B1D" w:rsidRPr="00E64B1D" w:rsidRDefault="00E64B1D" w:rsidP="00814BCC">
            <w:pPr>
              <w:rPr>
                <w:rFonts w:asciiTheme="majorHAnsi" w:hAnsiTheme="majorHAnsi"/>
              </w:rPr>
            </w:pPr>
            <w:r>
              <w:rPr>
                <w:rFonts w:asciiTheme="majorHAnsi" w:hAnsiTheme="majorHAnsi"/>
              </w:rPr>
              <w:t>•</w:t>
            </w:r>
            <w:r w:rsidRPr="00E64B1D">
              <w:rPr>
                <w:rFonts w:asciiTheme="majorHAnsi" w:hAnsiTheme="majorHAnsi"/>
              </w:rPr>
              <w:t>To work in accordance with the University’s Equal Opportunities Policy and the Staff Charter, promoting equality and diversity in your work.</w:t>
            </w:r>
          </w:p>
          <w:p w:rsidR="00E64B1D" w:rsidRPr="00E64B1D" w:rsidRDefault="00E64B1D" w:rsidP="00814BCC">
            <w:pPr>
              <w:ind w:left="357"/>
              <w:rPr>
                <w:rFonts w:asciiTheme="majorHAnsi" w:hAnsiTheme="majorHAnsi"/>
              </w:rPr>
            </w:pPr>
          </w:p>
          <w:p w:rsidR="00E64B1D" w:rsidRPr="00E64B1D" w:rsidRDefault="00E64B1D" w:rsidP="00814BCC">
            <w:pPr>
              <w:rPr>
                <w:rFonts w:asciiTheme="majorHAnsi" w:hAnsiTheme="majorHAnsi"/>
              </w:rPr>
            </w:pPr>
            <w:r>
              <w:rPr>
                <w:rFonts w:asciiTheme="majorHAnsi" w:hAnsiTheme="majorHAnsi"/>
              </w:rPr>
              <w:t>•</w:t>
            </w:r>
            <w:r w:rsidRPr="00E64B1D">
              <w:rPr>
                <w:rFonts w:asciiTheme="majorHAnsi" w:hAnsiTheme="majorHAnsi"/>
              </w:rPr>
              <w:t>To undertake continuous personal and professional development, and to support it for any staff you manage through effective use of the University’s Planning, Review and Appraisal scheme and staff development opportunities.</w:t>
            </w:r>
          </w:p>
          <w:p w:rsidR="00E64B1D" w:rsidRPr="00E64B1D" w:rsidRDefault="00E64B1D" w:rsidP="00814BCC">
            <w:pPr>
              <w:ind w:left="357"/>
              <w:rPr>
                <w:rFonts w:asciiTheme="majorHAnsi" w:hAnsiTheme="majorHAnsi"/>
              </w:rPr>
            </w:pPr>
          </w:p>
          <w:p w:rsidR="00E64B1D" w:rsidRPr="00E64B1D" w:rsidRDefault="00E64B1D" w:rsidP="00814BCC">
            <w:pPr>
              <w:rPr>
                <w:rFonts w:asciiTheme="majorHAnsi" w:hAnsiTheme="majorHAnsi"/>
              </w:rPr>
            </w:pPr>
            <w:r>
              <w:rPr>
                <w:rFonts w:asciiTheme="majorHAnsi" w:hAnsiTheme="majorHAnsi"/>
              </w:rPr>
              <w:t>•</w:t>
            </w:r>
            <w:r w:rsidRPr="00E64B1D">
              <w:rPr>
                <w:rFonts w:asciiTheme="majorHAnsi" w:hAnsiTheme="majorHAnsi"/>
              </w:rPr>
              <w:t>To make full use of all information and communication technologies to meet the requirements of the role and to promote organisational effectiveness.</w:t>
            </w:r>
          </w:p>
          <w:p w:rsidR="00E64B1D" w:rsidRPr="00E64B1D" w:rsidRDefault="00E64B1D" w:rsidP="00814BCC">
            <w:pPr>
              <w:ind w:left="357"/>
              <w:rPr>
                <w:rFonts w:asciiTheme="majorHAnsi" w:hAnsiTheme="majorHAnsi"/>
              </w:rPr>
            </w:pPr>
          </w:p>
          <w:p w:rsidR="00E64B1D" w:rsidRPr="00E64B1D" w:rsidRDefault="00E64B1D" w:rsidP="00814BCC">
            <w:pPr>
              <w:rPr>
                <w:rFonts w:asciiTheme="majorHAnsi" w:hAnsiTheme="majorHAnsi"/>
              </w:rPr>
            </w:pPr>
            <w:r>
              <w:rPr>
                <w:rFonts w:asciiTheme="majorHAnsi" w:hAnsiTheme="majorHAnsi"/>
              </w:rPr>
              <w:t>•</w:t>
            </w:r>
            <w:r w:rsidRPr="00E64B1D">
              <w:rPr>
                <w:rFonts w:asciiTheme="majorHAnsi" w:hAnsiTheme="majorHAnsi"/>
              </w:rPr>
              <w:t>To conduct all financial matters associated with the role in accordance with the University’s policies and procedures, as laid down in the Financial Regulations.</w:t>
            </w:r>
          </w:p>
          <w:p w:rsidR="00E64B1D" w:rsidRPr="00E64B1D" w:rsidRDefault="00E64B1D" w:rsidP="00814BCC">
            <w:pPr>
              <w:spacing w:after="120"/>
              <w:ind w:left="357"/>
              <w:rPr>
                <w:rFonts w:asciiTheme="majorHAnsi" w:hAnsiTheme="majorHAnsi"/>
              </w:rPr>
            </w:pPr>
          </w:p>
        </w:tc>
      </w:tr>
    </w:tbl>
    <w:tbl>
      <w:tblPr>
        <w:tblpPr w:leftFromText="180" w:rightFromText="180" w:vertAnchor="text" w:horzAnchor="margin" w:tblpXSpec="center" w:tblpY="101"/>
        <w:tblW w:w="104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0440"/>
      </w:tblGrid>
      <w:tr w:rsidR="006E50D8" w:rsidRPr="00D54156" w:rsidTr="006E50D8">
        <w:trPr>
          <w:trHeight w:val="1252"/>
        </w:trPr>
        <w:tc>
          <w:tcPr>
            <w:tcW w:w="10440" w:type="dxa"/>
          </w:tcPr>
          <w:p w:rsidR="006E50D8" w:rsidRDefault="006E50D8" w:rsidP="006E50D8">
            <w:pPr>
              <w:pStyle w:val="Heading4"/>
              <w:ind w:left="142"/>
              <w:rPr>
                <w:color w:val="auto"/>
              </w:rPr>
            </w:pPr>
            <w:r w:rsidRPr="00D54156">
              <w:rPr>
                <w:i w:val="0"/>
                <w:color w:val="auto"/>
              </w:rPr>
              <w:lastRenderedPageBreak/>
              <w:t>Key Working Relationships</w:t>
            </w:r>
            <w:r w:rsidRPr="00D54156">
              <w:rPr>
                <w:color w:val="auto"/>
              </w:rPr>
              <w:t xml:space="preserve">: </w:t>
            </w:r>
          </w:p>
          <w:p w:rsidR="006E50D8" w:rsidRPr="00D54156" w:rsidRDefault="006E50D8" w:rsidP="006E50D8">
            <w:pPr>
              <w:pStyle w:val="Heading4"/>
              <w:ind w:left="142"/>
              <w:rPr>
                <w:b w:val="0"/>
                <w:i w:val="0"/>
                <w:color w:val="auto"/>
              </w:rPr>
            </w:pPr>
            <w:r w:rsidRPr="00D54156">
              <w:rPr>
                <w:b w:val="0"/>
                <w:i w:val="0"/>
                <w:color w:val="auto"/>
              </w:rPr>
              <w:t xml:space="preserve">Managers and other staff, and external partners, suppliers </w:t>
            </w:r>
            <w:r w:rsidR="00814BCC" w:rsidRPr="00D54156">
              <w:rPr>
                <w:b w:val="0"/>
                <w:i w:val="0"/>
                <w:color w:val="auto"/>
              </w:rPr>
              <w:t>etc</w:t>
            </w:r>
            <w:r w:rsidR="00814BCC">
              <w:rPr>
                <w:b w:val="0"/>
                <w:i w:val="0"/>
                <w:color w:val="auto"/>
              </w:rPr>
              <w:t>.</w:t>
            </w:r>
            <w:r w:rsidR="00814BCC" w:rsidRPr="00D54156">
              <w:rPr>
                <w:b w:val="0"/>
                <w:i w:val="0"/>
                <w:color w:val="auto"/>
              </w:rPr>
              <w:t xml:space="preserve"> with</w:t>
            </w:r>
            <w:r w:rsidRPr="00D54156">
              <w:rPr>
                <w:b w:val="0"/>
                <w:i w:val="0"/>
                <w:color w:val="auto"/>
              </w:rPr>
              <w:t xml:space="preserve"> whom regular contact is required.</w:t>
            </w:r>
          </w:p>
          <w:p w:rsidR="006E50D8" w:rsidRPr="006E50D8" w:rsidRDefault="006E50D8" w:rsidP="006E50D8">
            <w:pPr>
              <w:numPr>
                <w:ilvl w:val="0"/>
                <w:numId w:val="11"/>
              </w:numPr>
              <w:rPr>
                <w:rFonts w:asciiTheme="majorHAnsi" w:hAnsiTheme="majorHAnsi" w:cs="Arial"/>
              </w:rPr>
            </w:pPr>
            <w:r w:rsidRPr="006E50D8">
              <w:rPr>
                <w:rFonts w:asciiTheme="majorHAnsi" w:hAnsiTheme="majorHAnsi" w:cs="Arial"/>
              </w:rPr>
              <w:t>Dean of Academic Strategy</w:t>
            </w:r>
          </w:p>
          <w:p w:rsidR="006E50D8" w:rsidRPr="006E50D8" w:rsidRDefault="006E50D8" w:rsidP="006E50D8">
            <w:pPr>
              <w:numPr>
                <w:ilvl w:val="0"/>
                <w:numId w:val="11"/>
              </w:numPr>
              <w:rPr>
                <w:rFonts w:asciiTheme="majorHAnsi" w:hAnsiTheme="majorHAnsi" w:cs="Arial"/>
              </w:rPr>
            </w:pPr>
            <w:r w:rsidRPr="006E50D8">
              <w:rPr>
                <w:rFonts w:asciiTheme="majorHAnsi" w:hAnsiTheme="majorHAnsi" w:cs="Arial"/>
              </w:rPr>
              <w:t xml:space="preserve">Pro Vice Chancellor /Head of Colleges </w:t>
            </w:r>
          </w:p>
          <w:p w:rsidR="006E50D8" w:rsidRPr="006E50D8" w:rsidRDefault="006E50D8" w:rsidP="006E50D8">
            <w:pPr>
              <w:numPr>
                <w:ilvl w:val="0"/>
                <w:numId w:val="11"/>
              </w:numPr>
              <w:rPr>
                <w:rFonts w:asciiTheme="majorHAnsi" w:hAnsiTheme="majorHAnsi" w:cs="Arial"/>
              </w:rPr>
            </w:pPr>
            <w:r w:rsidRPr="006E50D8">
              <w:rPr>
                <w:rFonts w:asciiTheme="majorHAnsi" w:hAnsiTheme="majorHAnsi" w:cs="Arial"/>
              </w:rPr>
              <w:t>School Deans and Associate Deans</w:t>
            </w:r>
          </w:p>
          <w:p w:rsidR="006E50D8" w:rsidRPr="006E50D8" w:rsidRDefault="006E50D8" w:rsidP="006E50D8">
            <w:pPr>
              <w:numPr>
                <w:ilvl w:val="0"/>
                <w:numId w:val="11"/>
              </w:numPr>
              <w:rPr>
                <w:rFonts w:asciiTheme="majorHAnsi" w:hAnsiTheme="majorHAnsi" w:cs="Arial"/>
              </w:rPr>
            </w:pPr>
            <w:r w:rsidRPr="006E50D8">
              <w:rPr>
                <w:rFonts w:asciiTheme="majorHAnsi" w:hAnsiTheme="majorHAnsi" w:cs="Arial"/>
              </w:rPr>
              <w:t>LCF Executive Group</w:t>
            </w:r>
          </w:p>
          <w:p w:rsidR="006E50D8" w:rsidRPr="006E50D8" w:rsidRDefault="006E50D8" w:rsidP="006E50D8">
            <w:pPr>
              <w:numPr>
                <w:ilvl w:val="0"/>
                <w:numId w:val="11"/>
              </w:numPr>
              <w:rPr>
                <w:rFonts w:asciiTheme="majorHAnsi" w:hAnsiTheme="majorHAnsi" w:cs="Arial"/>
              </w:rPr>
            </w:pPr>
            <w:r w:rsidRPr="006E50D8">
              <w:rPr>
                <w:rFonts w:asciiTheme="majorHAnsi" w:hAnsiTheme="majorHAnsi" w:cs="Arial"/>
              </w:rPr>
              <w:t xml:space="preserve">Associate Deans for Learning &amp; Teaching &amp; Enhancement </w:t>
            </w:r>
          </w:p>
          <w:p w:rsidR="006E50D8" w:rsidRPr="006E50D8" w:rsidRDefault="006E50D8" w:rsidP="006E50D8">
            <w:pPr>
              <w:numPr>
                <w:ilvl w:val="0"/>
                <w:numId w:val="11"/>
              </w:numPr>
              <w:rPr>
                <w:rFonts w:asciiTheme="majorHAnsi" w:hAnsiTheme="majorHAnsi" w:cs="Arial"/>
              </w:rPr>
            </w:pPr>
            <w:r w:rsidRPr="006E50D8">
              <w:rPr>
                <w:rFonts w:asciiTheme="majorHAnsi" w:hAnsiTheme="majorHAnsi" w:cs="Arial"/>
              </w:rPr>
              <w:t>AEM lead</w:t>
            </w:r>
          </w:p>
          <w:p w:rsidR="006E50D8" w:rsidRPr="006E50D8" w:rsidRDefault="006E50D8" w:rsidP="006E50D8">
            <w:pPr>
              <w:numPr>
                <w:ilvl w:val="0"/>
                <w:numId w:val="11"/>
              </w:numPr>
              <w:rPr>
                <w:rFonts w:asciiTheme="majorHAnsi" w:hAnsiTheme="majorHAnsi" w:cs="Arial"/>
              </w:rPr>
            </w:pPr>
            <w:r w:rsidRPr="006E50D8">
              <w:rPr>
                <w:rFonts w:asciiTheme="majorHAnsi" w:hAnsiTheme="majorHAnsi" w:cs="Arial"/>
              </w:rPr>
              <w:t xml:space="preserve">Associate Dean of Research </w:t>
            </w:r>
          </w:p>
          <w:p w:rsidR="006E50D8" w:rsidRPr="00D54156" w:rsidRDefault="006E50D8" w:rsidP="006E50D8">
            <w:pPr>
              <w:numPr>
                <w:ilvl w:val="0"/>
                <w:numId w:val="11"/>
              </w:numPr>
              <w:rPr>
                <w:rFonts w:asciiTheme="majorHAnsi" w:hAnsiTheme="majorHAnsi" w:cs="Arial"/>
              </w:rPr>
            </w:pPr>
            <w:r w:rsidRPr="006E50D8">
              <w:rPr>
                <w:rFonts w:asciiTheme="majorHAnsi" w:hAnsiTheme="majorHAnsi" w:cs="Arial"/>
              </w:rPr>
              <w:t>HR Business Partner and the HR team</w:t>
            </w:r>
          </w:p>
        </w:tc>
      </w:tr>
      <w:tr w:rsidR="006E50D8" w:rsidRPr="00D54156" w:rsidTr="006E50D8">
        <w:tc>
          <w:tcPr>
            <w:tcW w:w="10440" w:type="dxa"/>
          </w:tcPr>
          <w:p w:rsidR="006E50D8" w:rsidRPr="00D54156" w:rsidRDefault="006E50D8" w:rsidP="006E50D8">
            <w:pPr>
              <w:pStyle w:val="Heading4"/>
              <w:ind w:left="142"/>
              <w:rPr>
                <w:i w:val="0"/>
                <w:color w:val="auto"/>
              </w:rPr>
            </w:pPr>
            <w:r w:rsidRPr="00D54156">
              <w:rPr>
                <w:i w:val="0"/>
                <w:color w:val="auto"/>
              </w:rPr>
              <w:t>Specific Management Responsibilities</w:t>
            </w:r>
          </w:p>
          <w:p w:rsidR="006E50D8" w:rsidRPr="00D54156" w:rsidRDefault="006E50D8" w:rsidP="006E50D8">
            <w:pPr>
              <w:ind w:left="142"/>
              <w:rPr>
                <w:rFonts w:asciiTheme="majorHAnsi" w:hAnsiTheme="majorHAnsi"/>
                <w:b/>
              </w:rPr>
            </w:pPr>
          </w:p>
          <w:p w:rsidR="006E50D8" w:rsidRPr="00D54156" w:rsidRDefault="006E50D8" w:rsidP="006E50D8">
            <w:pPr>
              <w:ind w:left="142"/>
              <w:rPr>
                <w:rFonts w:asciiTheme="majorHAnsi" w:hAnsiTheme="majorHAnsi"/>
              </w:rPr>
            </w:pPr>
            <w:r w:rsidRPr="00D54156">
              <w:rPr>
                <w:rFonts w:asciiTheme="majorHAnsi" w:hAnsiTheme="majorHAnsi"/>
                <w:b/>
              </w:rPr>
              <w:t>Budgets</w:t>
            </w:r>
            <w:r>
              <w:rPr>
                <w:rFonts w:asciiTheme="majorHAnsi" w:hAnsiTheme="majorHAnsi"/>
              </w:rPr>
              <w:t>:</w:t>
            </w:r>
            <w:r>
              <w:rPr>
                <w:rFonts w:asciiTheme="majorHAnsi" w:hAnsiTheme="majorHAnsi"/>
              </w:rPr>
              <w:tab/>
            </w:r>
            <w:r>
              <w:t xml:space="preserve"> </w:t>
            </w:r>
            <w:r w:rsidRPr="006E50D8">
              <w:rPr>
                <w:rFonts w:asciiTheme="majorHAnsi" w:hAnsiTheme="majorHAnsi"/>
              </w:rPr>
              <w:t>Manage ongoing/project-related budgets associated with key areas of responsibility</w:t>
            </w:r>
          </w:p>
          <w:p w:rsidR="006E50D8" w:rsidRPr="00D54156" w:rsidRDefault="006E50D8" w:rsidP="006E50D8">
            <w:pPr>
              <w:ind w:left="142"/>
              <w:rPr>
                <w:rFonts w:asciiTheme="majorHAnsi" w:hAnsiTheme="majorHAnsi"/>
              </w:rPr>
            </w:pPr>
          </w:p>
          <w:p w:rsidR="006E50D8" w:rsidRPr="006E50D8" w:rsidRDefault="006E50D8" w:rsidP="006E50D8">
            <w:pPr>
              <w:pStyle w:val="BodyText2"/>
              <w:ind w:left="142"/>
              <w:rPr>
                <w:rFonts w:asciiTheme="majorHAnsi" w:hAnsiTheme="majorHAnsi"/>
                <w:b/>
                <w:szCs w:val="20"/>
              </w:rPr>
            </w:pPr>
            <w:r w:rsidRPr="006E50D8">
              <w:rPr>
                <w:rFonts w:asciiTheme="majorHAnsi" w:hAnsiTheme="majorHAnsi"/>
                <w:b/>
                <w:szCs w:val="20"/>
              </w:rPr>
              <w:t xml:space="preserve">Other: </w:t>
            </w:r>
            <w:r w:rsidRPr="006E50D8">
              <w:rPr>
                <w:rFonts w:asciiTheme="majorHAnsi" w:hAnsiTheme="majorHAnsi"/>
                <w:b/>
                <w:szCs w:val="20"/>
              </w:rPr>
              <w:tab/>
            </w:r>
            <w:r w:rsidRPr="006E50D8">
              <w:t xml:space="preserve"> </w:t>
            </w:r>
            <w:r w:rsidRPr="006E50D8">
              <w:rPr>
                <w:rFonts w:asciiTheme="majorHAnsi" w:hAnsiTheme="majorHAnsi"/>
                <w:szCs w:val="20"/>
              </w:rPr>
              <w:t>Significant task leadership and management responsibility</w:t>
            </w:r>
            <w:r w:rsidRPr="006E50D8">
              <w:rPr>
                <w:rFonts w:asciiTheme="majorHAnsi" w:hAnsiTheme="majorHAnsi"/>
                <w:szCs w:val="20"/>
              </w:rPr>
              <w:tab/>
            </w:r>
            <w:r w:rsidRPr="006E50D8">
              <w:rPr>
                <w:rFonts w:asciiTheme="majorHAnsi" w:hAnsiTheme="majorHAnsi"/>
                <w:b/>
                <w:szCs w:val="20"/>
              </w:rPr>
              <w:t xml:space="preserve"> </w:t>
            </w:r>
          </w:p>
          <w:p w:rsidR="006E50D8" w:rsidRPr="006E50D8" w:rsidRDefault="006E50D8" w:rsidP="006E50D8">
            <w:pPr>
              <w:pStyle w:val="BodyText2"/>
              <w:ind w:left="142"/>
              <w:rPr>
                <w:rFonts w:asciiTheme="majorHAnsi" w:hAnsiTheme="majorHAnsi"/>
                <w:szCs w:val="20"/>
              </w:rPr>
            </w:pPr>
          </w:p>
        </w:tc>
      </w:tr>
    </w:tbl>
    <w:p w:rsidR="00D54156" w:rsidRPr="00D40CE9" w:rsidRDefault="00D54156" w:rsidP="00D54156">
      <w:pPr>
        <w:ind w:left="142"/>
        <w:rPr>
          <w:rFonts w:asciiTheme="majorHAnsi" w:hAnsiTheme="majorHAnsi"/>
          <w:b/>
        </w:rPr>
      </w:pPr>
    </w:p>
    <w:p w:rsidR="00D54156" w:rsidRPr="00D40CE9" w:rsidRDefault="00D54156" w:rsidP="00D54156">
      <w:pPr>
        <w:ind w:left="142"/>
        <w:rPr>
          <w:rFonts w:asciiTheme="majorHAnsi" w:hAnsiTheme="majorHAnsi"/>
          <w:b/>
        </w:rPr>
      </w:pPr>
    </w:p>
    <w:p w:rsidR="00D54156" w:rsidRDefault="00D54156" w:rsidP="00D54156">
      <w:pPr>
        <w:ind w:left="142"/>
        <w:rPr>
          <w:rFonts w:asciiTheme="majorHAnsi" w:hAnsiTheme="majorHAnsi" w:cs="Arial"/>
          <w:b/>
        </w:rPr>
      </w:pPr>
      <w:r w:rsidRPr="00D40CE9">
        <w:rPr>
          <w:rFonts w:asciiTheme="majorHAnsi" w:hAnsiTheme="majorHAnsi"/>
          <w:b/>
        </w:rPr>
        <w:br w:type="page"/>
      </w:r>
      <w:r w:rsidRPr="00D40CE9">
        <w:rPr>
          <w:rFonts w:asciiTheme="majorHAnsi" w:hAnsiTheme="majorHAnsi" w:cs="Arial"/>
          <w:b/>
        </w:rPr>
        <w:lastRenderedPageBreak/>
        <w:t xml:space="preserve">Job Title: </w:t>
      </w:r>
      <w:r w:rsidRPr="00D40CE9">
        <w:rPr>
          <w:rFonts w:asciiTheme="majorHAnsi" w:hAnsiTheme="majorHAnsi" w:cs="Arial"/>
          <w:b/>
        </w:rPr>
        <w:tab/>
      </w:r>
      <w:r w:rsidR="006E50D8" w:rsidRPr="006E50D8">
        <w:rPr>
          <w:rFonts w:asciiTheme="majorHAnsi" w:hAnsiTheme="majorHAnsi" w:cs="Arial"/>
          <w:b/>
        </w:rPr>
        <w:t>Associate Dean Student Experience</w:t>
      </w:r>
    </w:p>
    <w:p w:rsidR="006E50D8" w:rsidRPr="00D40CE9" w:rsidRDefault="006E50D8" w:rsidP="00D54156">
      <w:pPr>
        <w:ind w:left="142"/>
        <w:rPr>
          <w:rFonts w:asciiTheme="majorHAnsi" w:hAnsiTheme="majorHAnsi" w:cs="Arial"/>
          <w:b/>
        </w:rPr>
      </w:pPr>
    </w:p>
    <w:tbl>
      <w:tblPr>
        <w:tblStyle w:val="TableGrid"/>
        <w:tblW w:w="0" w:type="auto"/>
        <w:tblLook w:val="04A0" w:firstRow="1" w:lastRow="0" w:firstColumn="1" w:lastColumn="0" w:noHBand="0" w:noVBand="1"/>
      </w:tblPr>
      <w:tblGrid>
        <w:gridCol w:w="3536"/>
        <w:gridCol w:w="4754"/>
      </w:tblGrid>
      <w:tr w:rsidR="00D54156" w:rsidRPr="00D40CE9" w:rsidTr="007139CF">
        <w:trPr>
          <w:trHeight w:val="410"/>
        </w:trPr>
        <w:tc>
          <w:tcPr>
            <w:tcW w:w="8516" w:type="dxa"/>
            <w:gridSpan w:val="2"/>
            <w:shd w:val="clear" w:color="auto" w:fill="000000" w:themeFill="text1"/>
          </w:tcPr>
          <w:p w:rsidR="00D54156" w:rsidRPr="00D40CE9" w:rsidRDefault="00D54156" w:rsidP="007139CF">
            <w:pPr>
              <w:ind w:left="142"/>
              <w:rPr>
                <w:rFonts w:asciiTheme="majorHAnsi" w:hAnsiTheme="majorHAnsi" w:cs="Arial"/>
                <w:color w:val="262626" w:themeColor="text1" w:themeTint="D9"/>
                <w:sz w:val="20"/>
                <w:szCs w:val="20"/>
              </w:rPr>
            </w:pPr>
            <w:r w:rsidRPr="00D40CE9">
              <w:rPr>
                <w:rFonts w:asciiTheme="majorHAnsi" w:hAnsiTheme="majorHAnsi" w:cs="Arial"/>
                <w:sz w:val="20"/>
                <w:szCs w:val="20"/>
              </w:rPr>
              <w:t xml:space="preserve">Person Specification </w:t>
            </w:r>
          </w:p>
        </w:tc>
      </w:tr>
      <w:tr w:rsidR="00D54156" w:rsidRPr="00D40CE9" w:rsidTr="007139CF">
        <w:trPr>
          <w:trHeight w:val="700"/>
        </w:trPr>
        <w:tc>
          <w:tcPr>
            <w:tcW w:w="3596" w:type="dxa"/>
            <w:vAlign w:val="center"/>
          </w:tcPr>
          <w:p w:rsidR="00D54156" w:rsidRPr="00D40CE9" w:rsidRDefault="00D54156" w:rsidP="007139CF">
            <w:pPr>
              <w:ind w:left="142"/>
              <w:rPr>
                <w:rFonts w:asciiTheme="majorHAnsi" w:hAnsiTheme="majorHAnsi" w:cs="Arial"/>
                <w:sz w:val="20"/>
                <w:szCs w:val="20"/>
              </w:rPr>
            </w:pPr>
            <w:r w:rsidRPr="00D40CE9">
              <w:rPr>
                <w:rFonts w:asciiTheme="majorHAnsi" w:hAnsiTheme="majorHAnsi" w:cs="Arial"/>
                <w:sz w:val="20"/>
                <w:szCs w:val="20"/>
              </w:rPr>
              <w:t>Specialist Knowledge/Qualifications</w:t>
            </w:r>
          </w:p>
        </w:tc>
        <w:tc>
          <w:tcPr>
            <w:tcW w:w="4920" w:type="dxa"/>
          </w:tcPr>
          <w:p w:rsidR="006E50D8" w:rsidRPr="006E50D8" w:rsidRDefault="00D54156" w:rsidP="006E50D8">
            <w:pPr>
              <w:spacing w:line="240" w:lineRule="atLeast"/>
              <w:ind w:left="142"/>
              <w:rPr>
                <w:rFonts w:asciiTheme="majorHAnsi" w:hAnsiTheme="majorHAnsi" w:cs="Arial"/>
                <w:sz w:val="20"/>
                <w:szCs w:val="20"/>
              </w:rPr>
            </w:pPr>
            <w:r w:rsidRPr="00D40CE9">
              <w:rPr>
                <w:rFonts w:asciiTheme="majorHAnsi" w:hAnsiTheme="majorHAnsi" w:cs="Arial"/>
                <w:sz w:val="20"/>
                <w:szCs w:val="20"/>
              </w:rPr>
              <w:t xml:space="preserve"> </w:t>
            </w:r>
            <w:r w:rsidR="006E50D8" w:rsidRPr="006E50D8">
              <w:rPr>
                <w:rFonts w:asciiTheme="majorHAnsi" w:hAnsiTheme="majorHAnsi" w:cs="Arial"/>
                <w:sz w:val="20"/>
                <w:szCs w:val="20"/>
              </w:rPr>
              <w:t xml:space="preserve">Postgraduate qualification in related subject or equivalent professional experience. </w:t>
            </w:r>
            <w:r w:rsidR="006E50D8" w:rsidRPr="006E50D8">
              <w:rPr>
                <w:rFonts w:ascii="Tahoma" w:hAnsi="Tahoma" w:cs="Tahoma"/>
                <w:sz w:val="20"/>
                <w:szCs w:val="20"/>
              </w:rPr>
              <w:t> </w:t>
            </w:r>
          </w:p>
          <w:p w:rsidR="006E50D8" w:rsidRPr="006E50D8" w:rsidRDefault="006E50D8" w:rsidP="006E50D8">
            <w:pPr>
              <w:spacing w:line="240" w:lineRule="atLeast"/>
              <w:ind w:left="142"/>
              <w:rPr>
                <w:rFonts w:asciiTheme="majorHAnsi" w:hAnsiTheme="majorHAnsi" w:cs="Arial"/>
                <w:sz w:val="20"/>
                <w:szCs w:val="20"/>
              </w:rPr>
            </w:pPr>
          </w:p>
          <w:p w:rsidR="006E50D8" w:rsidRPr="006E50D8" w:rsidRDefault="006E50D8" w:rsidP="006E50D8">
            <w:pPr>
              <w:spacing w:line="240" w:lineRule="atLeast"/>
              <w:ind w:left="142"/>
              <w:rPr>
                <w:rFonts w:asciiTheme="majorHAnsi" w:hAnsiTheme="majorHAnsi" w:cs="Arial"/>
                <w:sz w:val="20"/>
                <w:szCs w:val="20"/>
              </w:rPr>
            </w:pPr>
            <w:r w:rsidRPr="006E50D8">
              <w:rPr>
                <w:rFonts w:asciiTheme="majorHAnsi" w:hAnsiTheme="majorHAnsi" w:cs="Arial"/>
                <w:sz w:val="20"/>
                <w:szCs w:val="20"/>
              </w:rPr>
              <w:t xml:space="preserve">Knowledge of educational pedagogy and current issues in FE, UG, PG and Research. </w:t>
            </w:r>
            <w:r w:rsidRPr="006E50D8">
              <w:rPr>
                <w:rFonts w:ascii="Tahoma" w:hAnsi="Tahoma" w:cs="Tahoma"/>
                <w:sz w:val="20"/>
                <w:szCs w:val="20"/>
              </w:rPr>
              <w:t> </w:t>
            </w:r>
          </w:p>
          <w:p w:rsidR="006E50D8" w:rsidRPr="006E50D8" w:rsidRDefault="006E50D8" w:rsidP="006E50D8">
            <w:pPr>
              <w:spacing w:line="240" w:lineRule="atLeast"/>
              <w:ind w:left="142"/>
              <w:rPr>
                <w:rFonts w:asciiTheme="majorHAnsi" w:hAnsiTheme="majorHAnsi" w:cs="Arial"/>
                <w:sz w:val="20"/>
                <w:szCs w:val="20"/>
              </w:rPr>
            </w:pPr>
          </w:p>
          <w:p w:rsidR="00D54156" w:rsidRPr="00D40CE9" w:rsidRDefault="006E50D8" w:rsidP="006E50D8">
            <w:pPr>
              <w:spacing w:line="240" w:lineRule="atLeast"/>
              <w:ind w:left="142"/>
              <w:rPr>
                <w:rFonts w:asciiTheme="majorHAnsi" w:hAnsiTheme="majorHAnsi" w:cs="Arial"/>
                <w:sz w:val="20"/>
                <w:szCs w:val="20"/>
              </w:rPr>
            </w:pPr>
            <w:r w:rsidRPr="006E50D8">
              <w:rPr>
                <w:rFonts w:asciiTheme="majorHAnsi" w:hAnsiTheme="majorHAnsi" w:cs="Arial"/>
                <w:sz w:val="20"/>
                <w:szCs w:val="20"/>
              </w:rPr>
              <w:t xml:space="preserve">Experience of shaping and influencing academic developments within Higher Education </w:t>
            </w:r>
            <w:r w:rsidRPr="006E50D8">
              <w:rPr>
                <w:rFonts w:ascii="Tahoma" w:hAnsi="Tahoma" w:cs="Tahoma"/>
                <w:sz w:val="20"/>
                <w:szCs w:val="20"/>
              </w:rPr>
              <w:t> </w:t>
            </w:r>
          </w:p>
        </w:tc>
      </w:tr>
      <w:tr w:rsidR="00D54156" w:rsidRPr="00D40CE9" w:rsidTr="007139CF">
        <w:trPr>
          <w:trHeight w:val="425"/>
        </w:trPr>
        <w:tc>
          <w:tcPr>
            <w:tcW w:w="3596" w:type="dxa"/>
            <w:vAlign w:val="center"/>
          </w:tcPr>
          <w:p w:rsidR="00D54156" w:rsidRPr="00D40CE9" w:rsidRDefault="00D54156" w:rsidP="007139CF">
            <w:pPr>
              <w:ind w:left="142"/>
              <w:rPr>
                <w:rFonts w:asciiTheme="majorHAnsi" w:hAnsiTheme="majorHAnsi" w:cs="Arial"/>
                <w:sz w:val="20"/>
                <w:szCs w:val="20"/>
              </w:rPr>
            </w:pPr>
            <w:r w:rsidRPr="00D40CE9">
              <w:rPr>
                <w:rFonts w:asciiTheme="majorHAnsi" w:hAnsiTheme="majorHAnsi" w:cs="Arial"/>
                <w:sz w:val="20"/>
                <w:szCs w:val="20"/>
              </w:rPr>
              <w:t>Relevant Experience</w:t>
            </w:r>
          </w:p>
        </w:tc>
        <w:tc>
          <w:tcPr>
            <w:tcW w:w="4920" w:type="dxa"/>
          </w:tcPr>
          <w:p w:rsidR="006E50D8" w:rsidRPr="006E50D8" w:rsidRDefault="006E50D8" w:rsidP="006E50D8">
            <w:pPr>
              <w:ind w:left="142"/>
              <w:rPr>
                <w:rFonts w:asciiTheme="majorHAnsi" w:hAnsiTheme="majorHAnsi" w:cs="Arial"/>
                <w:sz w:val="20"/>
                <w:szCs w:val="20"/>
              </w:rPr>
            </w:pPr>
            <w:r w:rsidRPr="006E50D8">
              <w:rPr>
                <w:rFonts w:asciiTheme="majorHAnsi" w:hAnsiTheme="majorHAnsi" w:cs="Arial"/>
                <w:sz w:val="20"/>
                <w:szCs w:val="20"/>
              </w:rPr>
              <w:t xml:space="preserve">Proven record of academic leadership and innovation in cross-disciplinary teaching and learning. </w:t>
            </w:r>
          </w:p>
          <w:p w:rsidR="006E50D8" w:rsidRPr="006E50D8" w:rsidRDefault="006E50D8" w:rsidP="006E50D8">
            <w:pPr>
              <w:ind w:left="142"/>
              <w:rPr>
                <w:rFonts w:asciiTheme="majorHAnsi" w:hAnsiTheme="majorHAnsi" w:cs="Arial"/>
                <w:sz w:val="20"/>
                <w:szCs w:val="20"/>
              </w:rPr>
            </w:pPr>
            <w:r w:rsidRPr="006E50D8">
              <w:rPr>
                <w:rFonts w:asciiTheme="majorHAnsi" w:hAnsiTheme="majorHAnsi" w:cs="Arial"/>
                <w:sz w:val="20"/>
                <w:szCs w:val="20"/>
              </w:rPr>
              <w:t>Experience of reviewing areas identified for improvement and proactively leading the development of an inclusive and coherent curriculum.</w:t>
            </w:r>
          </w:p>
          <w:p w:rsidR="006E50D8" w:rsidRPr="006E50D8" w:rsidRDefault="006E50D8" w:rsidP="006E50D8">
            <w:pPr>
              <w:ind w:left="142"/>
              <w:rPr>
                <w:rFonts w:asciiTheme="majorHAnsi" w:hAnsiTheme="majorHAnsi" w:cs="Arial"/>
                <w:sz w:val="20"/>
                <w:szCs w:val="20"/>
              </w:rPr>
            </w:pPr>
            <w:r w:rsidRPr="006E50D8">
              <w:rPr>
                <w:rFonts w:asciiTheme="majorHAnsi" w:hAnsiTheme="majorHAnsi" w:cs="Arial"/>
                <w:sz w:val="20"/>
                <w:szCs w:val="20"/>
              </w:rPr>
              <w:t>Proven record in championing and responding to student voice in the development of opportunities both within and beyond the curriculum.</w:t>
            </w:r>
          </w:p>
          <w:p w:rsidR="00D54156" w:rsidRPr="006E50D8" w:rsidRDefault="006E50D8" w:rsidP="006E50D8">
            <w:pPr>
              <w:ind w:left="142"/>
              <w:rPr>
                <w:rFonts w:asciiTheme="majorHAnsi" w:hAnsiTheme="majorHAnsi" w:cs="Arial"/>
                <w:sz w:val="20"/>
                <w:szCs w:val="20"/>
              </w:rPr>
            </w:pPr>
            <w:r w:rsidRPr="006E50D8">
              <w:rPr>
                <w:rFonts w:asciiTheme="majorHAnsi" w:hAnsiTheme="majorHAnsi" w:cs="Arial"/>
                <w:sz w:val="20"/>
                <w:szCs w:val="20"/>
              </w:rPr>
              <w:t>Experience of academic management and programme development to ensure inclusivity of the academic offer to facilitate progression across all levels.</w:t>
            </w:r>
          </w:p>
        </w:tc>
      </w:tr>
      <w:tr w:rsidR="00D54156" w:rsidRPr="00D40CE9" w:rsidTr="007139CF">
        <w:tc>
          <w:tcPr>
            <w:tcW w:w="3596" w:type="dxa"/>
            <w:vAlign w:val="center"/>
          </w:tcPr>
          <w:p w:rsidR="00D54156" w:rsidRPr="00D40CE9" w:rsidRDefault="00D54156" w:rsidP="007139CF">
            <w:pPr>
              <w:ind w:left="142"/>
              <w:rPr>
                <w:rFonts w:asciiTheme="majorHAnsi" w:hAnsiTheme="majorHAnsi" w:cs="Arial"/>
                <w:sz w:val="20"/>
                <w:szCs w:val="20"/>
              </w:rPr>
            </w:pPr>
            <w:r w:rsidRPr="00D40CE9">
              <w:rPr>
                <w:rFonts w:asciiTheme="majorHAnsi" w:hAnsiTheme="majorHAnsi" w:cs="Arial"/>
                <w:sz w:val="20"/>
                <w:szCs w:val="20"/>
              </w:rPr>
              <w:t>Communication Skills</w:t>
            </w:r>
          </w:p>
        </w:tc>
        <w:tc>
          <w:tcPr>
            <w:tcW w:w="4920" w:type="dxa"/>
          </w:tcPr>
          <w:p w:rsidR="00D54156" w:rsidRPr="00D40CE9" w:rsidRDefault="006E50D8" w:rsidP="007139CF">
            <w:pPr>
              <w:ind w:left="142"/>
              <w:rPr>
                <w:rFonts w:asciiTheme="majorHAnsi" w:hAnsiTheme="majorHAnsi" w:cs="Arial"/>
                <w:sz w:val="20"/>
                <w:szCs w:val="20"/>
              </w:rPr>
            </w:pPr>
            <w:r w:rsidRPr="006E50D8">
              <w:rPr>
                <w:rFonts w:asciiTheme="majorHAnsi" w:hAnsiTheme="majorHAnsi" w:cs="Arial"/>
                <w:sz w:val="20"/>
                <w:szCs w:val="20"/>
              </w:rPr>
              <w:t>Communicates in a compelling and influential way adapting the style and message to a diverse internal or external audience in an inclusive and accessible way</w:t>
            </w:r>
          </w:p>
        </w:tc>
      </w:tr>
      <w:tr w:rsidR="00D54156" w:rsidRPr="00D40CE9" w:rsidTr="007139CF">
        <w:tc>
          <w:tcPr>
            <w:tcW w:w="3596" w:type="dxa"/>
            <w:vAlign w:val="center"/>
          </w:tcPr>
          <w:p w:rsidR="00D54156" w:rsidRPr="00D40CE9" w:rsidRDefault="00D54156" w:rsidP="007139CF">
            <w:pPr>
              <w:ind w:left="142"/>
              <w:rPr>
                <w:rFonts w:asciiTheme="majorHAnsi" w:hAnsiTheme="majorHAnsi" w:cs="Arial"/>
                <w:sz w:val="20"/>
                <w:szCs w:val="20"/>
              </w:rPr>
            </w:pPr>
            <w:r w:rsidRPr="00D40CE9">
              <w:rPr>
                <w:rFonts w:asciiTheme="majorHAnsi" w:hAnsiTheme="majorHAnsi" w:cs="Arial"/>
                <w:sz w:val="20"/>
                <w:szCs w:val="20"/>
              </w:rPr>
              <w:t>Leadership and Management</w:t>
            </w:r>
          </w:p>
        </w:tc>
        <w:tc>
          <w:tcPr>
            <w:tcW w:w="4920" w:type="dxa"/>
          </w:tcPr>
          <w:p w:rsidR="006E50D8" w:rsidRPr="006E50D8" w:rsidRDefault="006E50D8" w:rsidP="006E50D8">
            <w:pPr>
              <w:spacing w:line="240" w:lineRule="atLeast"/>
              <w:ind w:left="142"/>
              <w:rPr>
                <w:rFonts w:asciiTheme="majorHAnsi" w:hAnsiTheme="majorHAnsi" w:cs="Arial"/>
                <w:color w:val="000000"/>
                <w:sz w:val="20"/>
                <w:szCs w:val="20"/>
              </w:rPr>
            </w:pPr>
            <w:r w:rsidRPr="006E50D8">
              <w:rPr>
                <w:rFonts w:asciiTheme="majorHAnsi" w:hAnsiTheme="majorHAnsi" w:cs="Arial"/>
                <w:color w:val="000000"/>
                <w:sz w:val="20"/>
                <w:szCs w:val="20"/>
              </w:rPr>
              <w:t>Motivates and leads a team effectively and sets the direction of one or more function, promoting collaboration across formal boundaries</w:t>
            </w:r>
          </w:p>
          <w:p w:rsidR="006E50D8" w:rsidRPr="006E50D8" w:rsidRDefault="006E50D8" w:rsidP="006E50D8">
            <w:pPr>
              <w:spacing w:line="240" w:lineRule="atLeast"/>
              <w:ind w:left="142"/>
              <w:rPr>
                <w:rFonts w:asciiTheme="majorHAnsi" w:hAnsiTheme="majorHAnsi" w:cs="Arial"/>
                <w:color w:val="000000"/>
                <w:sz w:val="20"/>
                <w:szCs w:val="20"/>
              </w:rPr>
            </w:pPr>
          </w:p>
          <w:p w:rsidR="00D54156" w:rsidRPr="00D40CE9" w:rsidRDefault="006E50D8" w:rsidP="006E50D8">
            <w:pPr>
              <w:spacing w:line="240" w:lineRule="atLeast"/>
              <w:ind w:left="142"/>
              <w:rPr>
                <w:rFonts w:asciiTheme="majorHAnsi" w:hAnsiTheme="majorHAnsi" w:cs="Arial"/>
                <w:color w:val="000000"/>
                <w:sz w:val="20"/>
                <w:szCs w:val="20"/>
              </w:rPr>
            </w:pPr>
            <w:r w:rsidRPr="006E50D8">
              <w:rPr>
                <w:rFonts w:asciiTheme="majorHAnsi" w:hAnsiTheme="majorHAnsi" w:cs="Arial"/>
                <w:color w:val="000000"/>
                <w:sz w:val="20"/>
                <w:szCs w:val="20"/>
              </w:rPr>
              <w:t xml:space="preserve">Fosters an environment that embraces change, helps others to accept new ideas and make change happen. </w:t>
            </w:r>
            <w:r w:rsidRPr="006E50D8">
              <w:rPr>
                <w:rFonts w:ascii="Tahoma" w:hAnsi="Tahoma" w:cs="Tahoma"/>
                <w:color w:val="000000"/>
                <w:sz w:val="20"/>
                <w:szCs w:val="20"/>
              </w:rPr>
              <w:t> </w:t>
            </w:r>
          </w:p>
        </w:tc>
      </w:tr>
      <w:tr w:rsidR="00D54156" w:rsidRPr="00D40CE9" w:rsidTr="007139CF">
        <w:trPr>
          <w:trHeight w:val="915"/>
        </w:trPr>
        <w:tc>
          <w:tcPr>
            <w:tcW w:w="3596" w:type="dxa"/>
            <w:vAlign w:val="center"/>
          </w:tcPr>
          <w:p w:rsidR="00D54156" w:rsidRPr="00D40CE9" w:rsidRDefault="00D54156" w:rsidP="007139CF">
            <w:pPr>
              <w:ind w:left="142"/>
              <w:rPr>
                <w:rFonts w:asciiTheme="majorHAnsi" w:hAnsiTheme="majorHAnsi" w:cs="Arial"/>
                <w:sz w:val="20"/>
                <w:szCs w:val="20"/>
              </w:rPr>
            </w:pPr>
            <w:r w:rsidRPr="00D40CE9">
              <w:rPr>
                <w:rFonts w:asciiTheme="majorHAnsi" w:hAnsiTheme="majorHAnsi" w:cs="Arial"/>
                <w:sz w:val="20"/>
                <w:szCs w:val="20"/>
              </w:rPr>
              <w:t>Research, Teaching and Learning</w:t>
            </w:r>
          </w:p>
          <w:p w:rsidR="00D54156" w:rsidRPr="00D40CE9" w:rsidRDefault="00D54156" w:rsidP="007139CF">
            <w:pPr>
              <w:ind w:left="142"/>
              <w:rPr>
                <w:rFonts w:asciiTheme="majorHAnsi" w:hAnsiTheme="majorHAnsi" w:cs="Arial"/>
                <w:sz w:val="20"/>
                <w:szCs w:val="20"/>
              </w:rPr>
            </w:pPr>
          </w:p>
        </w:tc>
        <w:tc>
          <w:tcPr>
            <w:tcW w:w="4920" w:type="dxa"/>
            <w:vAlign w:val="center"/>
          </w:tcPr>
          <w:p w:rsidR="00D54156" w:rsidRDefault="006E50D8" w:rsidP="007139CF">
            <w:pPr>
              <w:ind w:left="142"/>
              <w:rPr>
                <w:rFonts w:asciiTheme="majorHAnsi" w:hAnsiTheme="majorHAnsi" w:cs="Arial"/>
                <w:color w:val="000000"/>
                <w:sz w:val="20"/>
                <w:szCs w:val="20"/>
              </w:rPr>
            </w:pPr>
            <w:r w:rsidRPr="006E50D8">
              <w:rPr>
                <w:rFonts w:asciiTheme="majorHAnsi" w:hAnsiTheme="majorHAnsi" w:cs="Arial"/>
                <w:color w:val="000000"/>
                <w:sz w:val="20"/>
                <w:szCs w:val="20"/>
              </w:rPr>
              <w:t>Applies innovative approaches in leading academic programmes, teaching, learning or professional practice to support excellent teaching, pedagogy and inclusivity</w:t>
            </w:r>
          </w:p>
          <w:p w:rsidR="006E50D8" w:rsidRDefault="006E50D8" w:rsidP="007139CF">
            <w:pPr>
              <w:ind w:left="142"/>
              <w:rPr>
                <w:rFonts w:asciiTheme="majorHAnsi" w:hAnsiTheme="majorHAnsi" w:cs="Arial"/>
                <w:color w:val="000000"/>
                <w:sz w:val="20"/>
                <w:szCs w:val="20"/>
              </w:rPr>
            </w:pPr>
          </w:p>
          <w:p w:rsidR="006E50D8" w:rsidRPr="00D40CE9" w:rsidRDefault="006E50D8" w:rsidP="007139CF">
            <w:pPr>
              <w:ind w:left="142"/>
              <w:rPr>
                <w:rFonts w:asciiTheme="majorHAnsi" w:hAnsiTheme="majorHAnsi" w:cs="Arial"/>
                <w:color w:val="000000"/>
                <w:sz w:val="20"/>
                <w:szCs w:val="20"/>
              </w:rPr>
            </w:pPr>
            <w:r w:rsidRPr="006E50D8">
              <w:rPr>
                <w:rFonts w:asciiTheme="majorHAnsi" w:hAnsiTheme="majorHAnsi" w:cs="Arial"/>
                <w:color w:val="000000"/>
                <w:sz w:val="20"/>
                <w:szCs w:val="20"/>
              </w:rPr>
              <w:t>Applies own research to develop learning and assessment practice</w:t>
            </w:r>
          </w:p>
        </w:tc>
      </w:tr>
      <w:tr w:rsidR="00D54156" w:rsidRPr="00D40CE9" w:rsidTr="007139CF">
        <w:tc>
          <w:tcPr>
            <w:tcW w:w="3596" w:type="dxa"/>
            <w:vAlign w:val="center"/>
          </w:tcPr>
          <w:p w:rsidR="00D54156" w:rsidRPr="00D40CE9" w:rsidRDefault="00D54156" w:rsidP="007139CF">
            <w:pPr>
              <w:ind w:left="142"/>
              <w:rPr>
                <w:rFonts w:asciiTheme="majorHAnsi" w:hAnsiTheme="majorHAnsi" w:cs="Arial"/>
                <w:sz w:val="20"/>
                <w:szCs w:val="20"/>
              </w:rPr>
            </w:pPr>
            <w:r w:rsidRPr="00D40CE9">
              <w:rPr>
                <w:rFonts w:asciiTheme="majorHAnsi" w:hAnsiTheme="majorHAnsi" w:cs="Arial"/>
                <w:sz w:val="20"/>
                <w:szCs w:val="20"/>
              </w:rPr>
              <w:t>Professional Practice</w:t>
            </w:r>
          </w:p>
        </w:tc>
        <w:tc>
          <w:tcPr>
            <w:tcW w:w="4920" w:type="dxa"/>
            <w:vAlign w:val="center"/>
          </w:tcPr>
          <w:p w:rsidR="00D54156" w:rsidRPr="00D40CE9" w:rsidRDefault="006E50D8" w:rsidP="007139CF">
            <w:pPr>
              <w:ind w:left="142"/>
              <w:rPr>
                <w:rFonts w:asciiTheme="majorHAnsi" w:hAnsiTheme="majorHAnsi" w:cs="Arial"/>
                <w:sz w:val="20"/>
                <w:szCs w:val="20"/>
              </w:rPr>
            </w:pPr>
            <w:r w:rsidRPr="006E50D8">
              <w:rPr>
                <w:rFonts w:asciiTheme="majorHAnsi" w:hAnsiTheme="majorHAnsi" w:cs="Arial"/>
                <w:sz w:val="20"/>
                <w:szCs w:val="20"/>
              </w:rPr>
              <w:t>Contributes to advancing professional practice/research or scholarly activity in own area of specialism</w:t>
            </w:r>
          </w:p>
        </w:tc>
      </w:tr>
      <w:tr w:rsidR="00D54156" w:rsidRPr="00D40CE9" w:rsidTr="007139CF">
        <w:tc>
          <w:tcPr>
            <w:tcW w:w="3596" w:type="dxa"/>
            <w:vAlign w:val="center"/>
          </w:tcPr>
          <w:p w:rsidR="00D54156" w:rsidRPr="00D40CE9" w:rsidRDefault="00D54156" w:rsidP="007139CF">
            <w:pPr>
              <w:ind w:left="142"/>
              <w:rPr>
                <w:rFonts w:asciiTheme="majorHAnsi" w:hAnsiTheme="majorHAnsi" w:cs="Arial"/>
                <w:sz w:val="20"/>
                <w:szCs w:val="20"/>
              </w:rPr>
            </w:pPr>
            <w:r w:rsidRPr="00D40CE9">
              <w:rPr>
                <w:rFonts w:asciiTheme="majorHAnsi" w:hAnsiTheme="majorHAnsi" w:cs="Arial"/>
                <w:sz w:val="20"/>
                <w:szCs w:val="20"/>
              </w:rPr>
              <w:t>Planning and managing resources</w:t>
            </w:r>
          </w:p>
        </w:tc>
        <w:tc>
          <w:tcPr>
            <w:tcW w:w="4920" w:type="dxa"/>
            <w:vAlign w:val="center"/>
          </w:tcPr>
          <w:p w:rsidR="00D54156" w:rsidRPr="00D40CE9" w:rsidRDefault="006E50D8" w:rsidP="007139CF">
            <w:pPr>
              <w:ind w:left="142"/>
              <w:rPr>
                <w:rFonts w:asciiTheme="majorHAnsi" w:hAnsiTheme="majorHAnsi" w:cs="Arial"/>
                <w:sz w:val="20"/>
                <w:szCs w:val="20"/>
              </w:rPr>
            </w:pPr>
            <w:r w:rsidRPr="006E50D8">
              <w:rPr>
                <w:rFonts w:asciiTheme="majorHAnsi" w:hAnsiTheme="majorHAnsi" w:cs="Arial"/>
                <w:sz w:val="20"/>
                <w:szCs w:val="20"/>
              </w:rPr>
              <w:t>Effectively plans and manages operational activities or large projects to achieve long term objectives</w:t>
            </w:r>
          </w:p>
        </w:tc>
      </w:tr>
      <w:tr w:rsidR="00D54156" w:rsidRPr="00D40CE9" w:rsidTr="007139CF">
        <w:tc>
          <w:tcPr>
            <w:tcW w:w="3596" w:type="dxa"/>
            <w:vAlign w:val="center"/>
          </w:tcPr>
          <w:p w:rsidR="00D54156" w:rsidRPr="00D40CE9" w:rsidRDefault="00D54156" w:rsidP="007139CF">
            <w:pPr>
              <w:ind w:left="142"/>
              <w:rPr>
                <w:rFonts w:asciiTheme="majorHAnsi" w:hAnsiTheme="majorHAnsi" w:cs="Arial"/>
                <w:sz w:val="20"/>
                <w:szCs w:val="20"/>
              </w:rPr>
            </w:pPr>
            <w:r w:rsidRPr="00D40CE9">
              <w:rPr>
                <w:rFonts w:asciiTheme="majorHAnsi" w:hAnsiTheme="majorHAnsi" w:cs="Arial"/>
                <w:sz w:val="20"/>
                <w:szCs w:val="20"/>
              </w:rPr>
              <w:lastRenderedPageBreak/>
              <w:t>Teamwork</w:t>
            </w:r>
          </w:p>
        </w:tc>
        <w:tc>
          <w:tcPr>
            <w:tcW w:w="4920" w:type="dxa"/>
            <w:vAlign w:val="center"/>
          </w:tcPr>
          <w:p w:rsidR="00D54156" w:rsidRPr="00D40CE9" w:rsidRDefault="006E50D8" w:rsidP="007139CF">
            <w:pPr>
              <w:ind w:left="142"/>
              <w:rPr>
                <w:rFonts w:asciiTheme="majorHAnsi" w:hAnsiTheme="majorHAnsi" w:cs="Arial"/>
                <w:sz w:val="20"/>
                <w:szCs w:val="20"/>
              </w:rPr>
            </w:pPr>
            <w:r w:rsidRPr="006E50D8">
              <w:rPr>
                <w:rFonts w:asciiTheme="majorHAnsi" w:hAnsiTheme="majorHAnsi" w:cs="Arial"/>
                <w:sz w:val="20"/>
                <w:szCs w:val="20"/>
              </w:rPr>
              <w:t>Builds effective teams, networks or communities of practice and fosters constructive cross team collaboration</w:t>
            </w:r>
          </w:p>
        </w:tc>
      </w:tr>
      <w:tr w:rsidR="00D54156" w:rsidRPr="00D40CE9" w:rsidTr="007139CF">
        <w:tc>
          <w:tcPr>
            <w:tcW w:w="3596" w:type="dxa"/>
            <w:vAlign w:val="center"/>
          </w:tcPr>
          <w:p w:rsidR="00D54156" w:rsidRPr="00D40CE9" w:rsidRDefault="00D54156" w:rsidP="007139CF">
            <w:pPr>
              <w:ind w:left="142"/>
              <w:rPr>
                <w:rFonts w:asciiTheme="majorHAnsi" w:hAnsiTheme="majorHAnsi" w:cs="Arial"/>
                <w:sz w:val="20"/>
                <w:szCs w:val="20"/>
              </w:rPr>
            </w:pPr>
            <w:r w:rsidRPr="00D40CE9">
              <w:rPr>
                <w:rFonts w:asciiTheme="majorHAnsi" w:hAnsiTheme="majorHAnsi" w:cs="Arial"/>
                <w:sz w:val="20"/>
                <w:szCs w:val="20"/>
              </w:rPr>
              <w:t>Student experience or customer service</w:t>
            </w:r>
          </w:p>
        </w:tc>
        <w:tc>
          <w:tcPr>
            <w:tcW w:w="4920" w:type="dxa"/>
            <w:vAlign w:val="center"/>
          </w:tcPr>
          <w:p w:rsidR="00D54156" w:rsidRPr="00D40CE9" w:rsidRDefault="006E50D8" w:rsidP="007139CF">
            <w:pPr>
              <w:ind w:left="142"/>
              <w:rPr>
                <w:rFonts w:asciiTheme="majorHAnsi" w:hAnsiTheme="majorHAnsi" w:cs="Arial"/>
                <w:sz w:val="20"/>
                <w:szCs w:val="20"/>
              </w:rPr>
            </w:pPr>
            <w:r w:rsidRPr="006E50D8">
              <w:rPr>
                <w:rFonts w:asciiTheme="majorHAnsi" w:hAnsiTheme="majorHAnsi" w:cs="Arial"/>
                <w:sz w:val="20"/>
                <w:szCs w:val="20"/>
              </w:rPr>
              <w:t>Makes a significant contribution to improving the student or customer experience to promote an inclusive environment for students, colleagues or customers</w:t>
            </w:r>
          </w:p>
        </w:tc>
      </w:tr>
      <w:tr w:rsidR="00D54156" w:rsidRPr="00D40CE9" w:rsidTr="007139CF">
        <w:tc>
          <w:tcPr>
            <w:tcW w:w="3596" w:type="dxa"/>
            <w:vAlign w:val="center"/>
          </w:tcPr>
          <w:p w:rsidR="00D54156" w:rsidRPr="00D40CE9" w:rsidRDefault="00D54156" w:rsidP="007139CF">
            <w:pPr>
              <w:ind w:left="142"/>
              <w:rPr>
                <w:rFonts w:asciiTheme="majorHAnsi" w:hAnsiTheme="majorHAnsi" w:cs="Arial"/>
              </w:rPr>
            </w:pPr>
            <w:r w:rsidRPr="002D009B">
              <w:rPr>
                <w:rFonts w:asciiTheme="majorHAnsi" w:hAnsiTheme="majorHAnsi" w:cs="Arial"/>
                <w:sz w:val="20"/>
                <w:szCs w:val="20"/>
              </w:rPr>
              <w:t>Creativity, Innovation and Problem Solving</w:t>
            </w:r>
          </w:p>
        </w:tc>
        <w:tc>
          <w:tcPr>
            <w:tcW w:w="4920" w:type="dxa"/>
            <w:vAlign w:val="center"/>
          </w:tcPr>
          <w:p w:rsidR="00D54156" w:rsidRPr="00D40CE9" w:rsidRDefault="006E50D8" w:rsidP="006E50D8">
            <w:pPr>
              <w:ind w:left="90"/>
              <w:rPr>
                <w:rFonts w:asciiTheme="majorHAnsi" w:hAnsiTheme="majorHAnsi" w:cs="Arial"/>
                <w:color w:val="000000"/>
              </w:rPr>
            </w:pPr>
            <w:r w:rsidRPr="006E50D8">
              <w:rPr>
                <w:rFonts w:asciiTheme="majorHAnsi" w:hAnsiTheme="majorHAnsi" w:cs="Arial"/>
                <w:color w:val="000000"/>
              </w:rPr>
              <w:t>Identifies innovative solutions to problems to bring a wider benefit to the organisation</w:t>
            </w:r>
          </w:p>
        </w:tc>
      </w:tr>
    </w:tbl>
    <w:p w:rsidR="00D54156" w:rsidRDefault="00D54156" w:rsidP="00D54156">
      <w:pPr>
        <w:rPr>
          <w:rFonts w:asciiTheme="majorHAnsi" w:hAnsiTheme="majorHAnsi" w:cs="Arial"/>
          <w:b/>
        </w:rPr>
      </w:pPr>
    </w:p>
    <w:p w:rsidR="00D54156" w:rsidRDefault="00D54156" w:rsidP="00D54156">
      <w:pPr>
        <w:rPr>
          <w:rFonts w:asciiTheme="majorHAnsi" w:hAnsiTheme="majorHAnsi" w:cs="Arial"/>
          <w:b/>
        </w:rPr>
      </w:pPr>
      <w:r>
        <w:rPr>
          <w:rFonts w:asciiTheme="majorHAnsi" w:hAnsiTheme="majorHAnsi" w:cs="Arial"/>
          <w:b/>
        </w:rPr>
        <w:t xml:space="preserve">Last Updated: </w:t>
      </w:r>
      <w:r w:rsidR="008F4FE6">
        <w:rPr>
          <w:rFonts w:asciiTheme="majorHAnsi" w:hAnsiTheme="majorHAnsi" w:cs="Arial"/>
          <w:b/>
        </w:rPr>
        <w:t>June</w:t>
      </w:r>
      <w:r w:rsidR="003A4E19">
        <w:rPr>
          <w:rFonts w:asciiTheme="majorHAnsi" w:hAnsiTheme="majorHAnsi" w:cs="Arial"/>
          <w:b/>
        </w:rPr>
        <w:t xml:space="preserve"> 2019</w:t>
      </w:r>
    </w:p>
    <w:sectPr w:rsidR="00D54156" w:rsidSect="006E50D8">
      <w:pgSz w:w="11900" w:h="16840"/>
      <w:pgMar w:top="567" w:right="1800" w:bottom="1440" w:left="1800" w:header="720" w:footer="720"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86CF1"/>
    <w:multiLevelType w:val="singleLevel"/>
    <w:tmpl w:val="C3901F1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A014CD4"/>
    <w:multiLevelType w:val="singleLevel"/>
    <w:tmpl w:val="C3901F1E"/>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C33106B"/>
    <w:multiLevelType w:val="singleLevel"/>
    <w:tmpl w:val="C3901F1E"/>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122554E"/>
    <w:multiLevelType w:val="hybridMultilevel"/>
    <w:tmpl w:val="16F04D48"/>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4B4125"/>
    <w:multiLevelType w:val="hybridMultilevel"/>
    <w:tmpl w:val="FA702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E041B37"/>
    <w:multiLevelType w:val="hybridMultilevel"/>
    <w:tmpl w:val="76D8CE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98B5BE5"/>
    <w:multiLevelType w:val="hybridMultilevel"/>
    <w:tmpl w:val="3FF2802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2C824D6"/>
    <w:multiLevelType w:val="singleLevel"/>
    <w:tmpl w:val="C3901F1E"/>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558A4E08"/>
    <w:multiLevelType w:val="hybridMultilevel"/>
    <w:tmpl w:val="AC28258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5D7645EC"/>
    <w:multiLevelType w:val="hybridMultilevel"/>
    <w:tmpl w:val="49025B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DA723D5"/>
    <w:multiLevelType w:val="singleLevel"/>
    <w:tmpl w:val="C3901F1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7CC60A84"/>
    <w:multiLevelType w:val="hybridMultilevel"/>
    <w:tmpl w:val="3B76AC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DB25AD8"/>
    <w:multiLevelType w:val="singleLevel"/>
    <w:tmpl w:val="C3901F1E"/>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6"/>
  </w:num>
  <w:num w:numId="3">
    <w:abstractNumId w:val="8"/>
  </w:num>
  <w:num w:numId="4">
    <w:abstractNumId w:val="5"/>
  </w:num>
  <w:num w:numId="5">
    <w:abstractNumId w:val="2"/>
  </w:num>
  <w:num w:numId="6">
    <w:abstractNumId w:val="1"/>
  </w:num>
  <w:num w:numId="7">
    <w:abstractNumId w:val="7"/>
  </w:num>
  <w:num w:numId="8">
    <w:abstractNumId w:val="10"/>
  </w:num>
  <w:num w:numId="9">
    <w:abstractNumId w:val="12"/>
  </w:num>
  <w:num w:numId="10">
    <w:abstractNumId w:val="0"/>
  </w:num>
  <w:num w:numId="11">
    <w:abstractNumId w:val="4"/>
  </w:num>
  <w:num w:numId="12">
    <w:abstractNumId w:val="3"/>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4156"/>
    <w:rsid w:val="00244E53"/>
    <w:rsid w:val="00260DA2"/>
    <w:rsid w:val="00295376"/>
    <w:rsid w:val="002D15E2"/>
    <w:rsid w:val="00387C38"/>
    <w:rsid w:val="003A4E19"/>
    <w:rsid w:val="0043113D"/>
    <w:rsid w:val="0068240B"/>
    <w:rsid w:val="006E50D8"/>
    <w:rsid w:val="007E5F42"/>
    <w:rsid w:val="00814BCC"/>
    <w:rsid w:val="008F4FE6"/>
    <w:rsid w:val="00937EAA"/>
    <w:rsid w:val="00A35FCB"/>
    <w:rsid w:val="00CA2BB4"/>
    <w:rsid w:val="00D45384"/>
    <w:rsid w:val="00D52DAE"/>
    <w:rsid w:val="00D54156"/>
    <w:rsid w:val="00D959D2"/>
    <w:rsid w:val="00E64B1D"/>
    <w:rsid w:val="00EF34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48D34167-C5DC-FC4C-B7C2-A601C1CCC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EastAsia" w:hAnsi="Calibri"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4156"/>
  </w:style>
  <w:style w:type="paragraph" w:styleId="Heading1">
    <w:name w:val="heading 1"/>
    <w:basedOn w:val="Normal"/>
    <w:next w:val="Normal"/>
    <w:link w:val="Heading1Char"/>
    <w:qFormat/>
    <w:rsid w:val="00D54156"/>
    <w:pPr>
      <w:keepNext/>
      <w:pBdr>
        <w:top w:val="single" w:sz="12" w:space="1" w:color="auto"/>
        <w:left w:val="single" w:sz="12" w:space="4" w:color="auto"/>
        <w:bottom w:val="single" w:sz="12" w:space="1" w:color="auto"/>
        <w:right w:val="single" w:sz="12" w:space="4" w:color="auto"/>
      </w:pBdr>
      <w:jc w:val="center"/>
      <w:outlineLvl w:val="0"/>
    </w:pPr>
    <w:rPr>
      <w:rFonts w:ascii="Arial" w:eastAsia="Times New Roman" w:hAnsi="Arial" w:cs="Arial"/>
      <w:b/>
      <w:szCs w:val="24"/>
      <w:lang w:val="en-GB" w:eastAsia="en-US"/>
    </w:rPr>
  </w:style>
  <w:style w:type="paragraph" w:styleId="Heading3">
    <w:name w:val="heading 3"/>
    <w:basedOn w:val="Normal"/>
    <w:next w:val="Normal"/>
    <w:link w:val="Heading3Char"/>
    <w:qFormat/>
    <w:rsid w:val="00D54156"/>
    <w:pPr>
      <w:keepNext/>
      <w:jc w:val="center"/>
      <w:outlineLvl w:val="2"/>
    </w:pPr>
    <w:rPr>
      <w:rFonts w:ascii="Arial" w:eastAsia="Times New Roman" w:hAnsi="Arial" w:cs="Arial"/>
      <w:b/>
      <w:sz w:val="22"/>
      <w:szCs w:val="24"/>
      <w:lang w:val="en-GB" w:eastAsia="en-US"/>
    </w:rPr>
  </w:style>
  <w:style w:type="paragraph" w:styleId="Heading4">
    <w:name w:val="heading 4"/>
    <w:basedOn w:val="Normal"/>
    <w:next w:val="Normal"/>
    <w:link w:val="Heading4Char"/>
    <w:uiPriority w:val="9"/>
    <w:semiHidden/>
    <w:unhideWhenUsed/>
    <w:qFormat/>
    <w:rsid w:val="00D54156"/>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54156"/>
    <w:rPr>
      <w:rFonts w:ascii="Arial" w:eastAsia="Times New Roman" w:hAnsi="Arial" w:cs="Arial"/>
      <w:b/>
      <w:szCs w:val="24"/>
      <w:lang w:val="en-GB" w:eastAsia="en-US"/>
    </w:rPr>
  </w:style>
  <w:style w:type="character" w:customStyle="1" w:styleId="Heading3Char">
    <w:name w:val="Heading 3 Char"/>
    <w:basedOn w:val="DefaultParagraphFont"/>
    <w:link w:val="Heading3"/>
    <w:rsid w:val="00D54156"/>
    <w:rPr>
      <w:rFonts w:ascii="Arial" w:eastAsia="Times New Roman" w:hAnsi="Arial" w:cs="Arial"/>
      <w:b/>
      <w:sz w:val="22"/>
      <w:szCs w:val="24"/>
      <w:lang w:val="en-GB" w:eastAsia="en-US"/>
    </w:rPr>
  </w:style>
  <w:style w:type="character" w:customStyle="1" w:styleId="Heading4Char">
    <w:name w:val="Heading 4 Char"/>
    <w:basedOn w:val="DefaultParagraphFont"/>
    <w:link w:val="Heading4"/>
    <w:uiPriority w:val="9"/>
    <w:semiHidden/>
    <w:rsid w:val="00D54156"/>
    <w:rPr>
      <w:rFonts w:asciiTheme="majorHAnsi" w:eastAsiaTheme="majorEastAsia" w:hAnsiTheme="majorHAnsi" w:cstheme="majorBidi"/>
      <w:b/>
      <w:bCs/>
      <w:i/>
      <w:iCs/>
      <w:color w:val="4F81BD" w:themeColor="accent1"/>
    </w:rPr>
  </w:style>
  <w:style w:type="paragraph" w:styleId="BodyText2">
    <w:name w:val="Body Text 2"/>
    <w:basedOn w:val="Normal"/>
    <w:link w:val="BodyText2Char"/>
    <w:semiHidden/>
    <w:rsid w:val="00D54156"/>
    <w:rPr>
      <w:rFonts w:ascii="Arial" w:eastAsia="Times New Roman" w:hAnsi="Arial" w:cs="Arial"/>
      <w:szCs w:val="24"/>
      <w:lang w:val="en-GB" w:eastAsia="en-US"/>
    </w:rPr>
  </w:style>
  <w:style w:type="character" w:customStyle="1" w:styleId="BodyText2Char">
    <w:name w:val="Body Text 2 Char"/>
    <w:basedOn w:val="DefaultParagraphFont"/>
    <w:link w:val="BodyText2"/>
    <w:semiHidden/>
    <w:rsid w:val="00D54156"/>
    <w:rPr>
      <w:rFonts w:ascii="Arial" w:eastAsia="Times New Roman" w:hAnsi="Arial" w:cs="Arial"/>
      <w:szCs w:val="24"/>
      <w:lang w:val="en-GB" w:eastAsia="en-US"/>
    </w:rPr>
  </w:style>
  <w:style w:type="table" w:styleId="TableGrid">
    <w:name w:val="Table Grid"/>
    <w:basedOn w:val="TableNormal"/>
    <w:uiPriority w:val="59"/>
    <w:rsid w:val="00D54156"/>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E50D8"/>
    <w:pPr>
      <w:ind w:left="720"/>
    </w:pPr>
    <w:rPr>
      <w:rFonts w:ascii="Times New Roman" w:eastAsia="Times New Roman" w:hAnsi="Times New Roman"/>
      <w:sz w:val="22"/>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1318</Words>
  <Characters>7518</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University of the Arts London</Company>
  <LinksUpToDate>false</LinksUpToDate>
  <CharactersWithSpaces>8819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Authorised User</dc:creator>
  <cp:lastModifiedBy>Tina Scott</cp:lastModifiedBy>
  <cp:revision>2</cp:revision>
  <dcterms:created xsi:type="dcterms:W3CDTF">2019-06-24T14:35:00Z</dcterms:created>
  <dcterms:modified xsi:type="dcterms:W3CDTF">2019-06-24T14:35:00Z</dcterms:modified>
</cp:coreProperties>
</file>