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003D3432">
        <w:trPr>
          <w:trHeight w:val="413"/>
        </w:trPr>
        <w:tc>
          <w:tcPr>
            <w:tcW w:w="4560" w:type="dxa"/>
            <w:tcBorders>
              <w:bottom w:val="single" w:sz="8" w:space="0" w:color="auto"/>
              <w:right w:val="single" w:sz="8" w:space="0" w:color="auto"/>
            </w:tcBorders>
            <w:vAlign w:val="center"/>
          </w:tcPr>
          <w:p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BF08D5">
              <w:rPr>
                <w:rFonts w:cs="Arial"/>
                <w:szCs w:val="22"/>
              </w:rPr>
              <w:t>Application Support Analyst</w:t>
            </w:r>
          </w:p>
        </w:tc>
        <w:tc>
          <w:tcPr>
            <w:tcW w:w="4654" w:type="dxa"/>
            <w:gridSpan w:val="2"/>
            <w:tcBorders>
              <w:left w:val="single" w:sz="8" w:space="0" w:color="auto"/>
              <w:bottom w:val="single" w:sz="8" w:space="0" w:color="auto"/>
            </w:tcBorders>
            <w:vAlign w:val="center"/>
          </w:tcPr>
          <w:p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BF08D5">
              <w:rPr>
                <w:rFonts w:cs="Arial"/>
                <w:szCs w:val="22"/>
              </w:rPr>
              <w:t>Head of Business Services</w:t>
            </w:r>
          </w:p>
        </w:tc>
      </w:tr>
      <w:tr w:rsidR="00DE696E" w:rsidRPr="000C0840" w:rsidTr="003D3432">
        <w:trPr>
          <w:trHeight w:val="438"/>
        </w:trPr>
        <w:tc>
          <w:tcPr>
            <w:tcW w:w="4560" w:type="dxa"/>
            <w:tcBorders>
              <w:top w:val="single" w:sz="8" w:space="0" w:color="auto"/>
              <w:bottom w:val="single" w:sz="8" w:space="0" w:color="auto"/>
              <w:right w:val="single" w:sz="8" w:space="0" w:color="auto"/>
            </w:tcBorders>
            <w:vAlign w:val="center"/>
          </w:tcPr>
          <w:p w:rsidR="00DE696E" w:rsidRPr="003D3432" w:rsidRDefault="00DE696E" w:rsidP="00BF08D5">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r w:rsidR="003D3432">
              <w:rPr>
                <w:rFonts w:cs="Arial"/>
                <w:szCs w:val="22"/>
              </w:rPr>
              <w:t xml:space="preserve"> </w:t>
            </w:r>
          </w:p>
        </w:tc>
        <w:tc>
          <w:tcPr>
            <w:tcW w:w="2528" w:type="dxa"/>
            <w:tcBorders>
              <w:top w:val="single" w:sz="8" w:space="0" w:color="auto"/>
              <w:left w:val="single" w:sz="8" w:space="0" w:color="auto"/>
              <w:bottom w:val="single" w:sz="8" w:space="0" w:color="auto"/>
              <w:right w:val="nil"/>
            </w:tcBorders>
            <w:vAlign w:val="center"/>
          </w:tcPr>
          <w:p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BF08D5">
              <w:rPr>
                <w:rFonts w:cs="Arial"/>
                <w:szCs w:val="22"/>
              </w:rPr>
              <w:t>35</w:t>
            </w:r>
          </w:p>
        </w:tc>
        <w:tc>
          <w:tcPr>
            <w:tcW w:w="2126" w:type="dxa"/>
            <w:tcBorders>
              <w:top w:val="single" w:sz="8" w:space="0" w:color="auto"/>
              <w:left w:val="nil"/>
              <w:bottom w:val="single" w:sz="8" w:space="0" w:color="auto"/>
            </w:tcBorders>
            <w:vAlign w:val="center"/>
          </w:tcPr>
          <w:p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rsidTr="003D3432">
        <w:trPr>
          <w:trHeight w:val="388"/>
        </w:trPr>
        <w:tc>
          <w:tcPr>
            <w:tcW w:w="4560" w:type="dxa"/>
            <w:tcBorders>
              <w:top w:val="single" w:sz="8" w:space="0" w:color="auto"/>
              <w:bottom w:val="single" w:sz="8" w:space="0" w:color="auto"/>
              <w:right w:val="single" w:sz="8" w:space="0" w:color="auto"/>
            </w:tcBorders>
            <w:vAlign w:val="center"/>
          </w:tcPr>
          <w:p w:rsidR="00DE696E" w:rsidRPr="003D3432" w:rsidRDefault="00DE696E" w:rsidP="00357B10">
            <w:pPr>
              <w:contextualSpacing/>
              <w:rPr>
                <w:rFonts w:cs="Arial"/>
                <w:b/>
                <w:szCs w:val="22"/>
              </w:rPr>
            </w:pPr>
            <w:r w:rsidRPr="003D3432">
              <w:rPr>
                <w:rFonts w:cs="Arial"/>
                <w:b/>
                <w:szCs w:val="22"/>
              </w:rPr>
              <w:t>Salary</w:t>
            </w:r>
            <w:r w:rsidRPr="003D3432">
              <w:rPr>
                <w:rFonts w:cs="Arial"/>
                <w:szCs w:val="22"/>
              </w:rPr>
              <w:t xml:space="preserve">: </w:t>
            </w:r>
            <w:r w:rsidR="00331AB1">
              <w:rPr>
                <w:rFonts w:cs="Arial"/>
                <w:szCs w:val="22"/>
              </w:rPr>
              <w:t>£</w:t>
            </w:r>
            <w:r w:rsidR="00357B10">
              <w:rPr>
                <w:rFonts w:cs="Arial"/>
                <w:szCs w:val="22"/>
              </w:rPr>
              <w:t>34,326 - £44,421</w:t>
            </w:r>
            <w:bookmarkStart w:id="0" w:name="_GoBack"/>
            <w:bookmarkEnd w:id="0"/>
          </w:p>
        </w:tc>
        <w:tc>
          <w:tcPr>
            <w:tcW w:w="4654" w:type="dxa"/>
            <w:gridSpan w:val="2"/>
            <w:tcBorders>
              <w:top w:val="single" w:sz="8" w:space="0" w:color="auto"/>
              <w:left w:val="single" w:sz="8" w:space="0" w:color="auto"/>
              <w:bottom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BF08D5">
              <w:rPr>
                <w:rFonts w:cs="Arial"/>
                <w:szCs w:val="22"/>
              </w:rPr>
              <w:t>4</w:t>
            </w:r>
          </w:p>
        </w:tc>
      </w:tr>
      <w:tr w:rsidR="00DE696E" w:rsidRPr="000C0840" w:rsidTr="003D3432">
        <w:trPr>
          <w:trHeight w:val="426"/>
        </w:trPr>
        <w:tc>
          <w:tcPr>
            <w:tcW w:w="4560" w:type="dxa"/>
            <w:tcBorders>
              <w:top w:val="single" w:sz="8" w:space="0" w:color="auto"/>
              <w:right w:val="single" w:sz="8" w:space="0" w:color="auto"/>
            </w:tcBorders>
            <w:vAlign w:val="center"/>
          </w:tcPr>
          <w:p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BF08D5">
              <w:rPr>
                <w:rFonts w:cs="Arial"/>
                <w:szCs w:val="22"/>
              </w:rPr>
              <w:t>IT Services</w:t>
            </w:r>
          </w:p>
        </w:tc>
        <w:tc>
          <w:tcPr>
            <w:tcW w:w="4654" w:type="dxa"/>
            <w:gridSpan w:val="2"/>
            <w:tcBorders>
              <w:top w:val="single" w:sz="8" w:space="0" w:color="auto"/>
              <w:lef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BF08D5">
              <w:rPr>
                <w:rFonts w:cs="Arial"/>
                <w:szCs w:val="22"/>
              </w:rPr>
              <w:t>LCC- Elephant &amp; Castle</w:t>
            </w:r>
          </w:p>
        </w:tc>
      </w:tr>
      <w:tr w:rsidR="003D3432" w:rsidRPr="00C007C8" w:rsidTr="000C0840">
        <w:tc>
          <w:tcPr>
            <w:tcW w:w="9214" w:type="dxa"/>
            <w:gridSpan w:val="3"/>
          </w:tcPr>
          <w:p w:rsidR="003D3432" w:rsidRDefault="003D3432" w:rsidP="000B4B43">
            <w:pPr>
              <w:spacing w:before="120" w:after="120"/>
              <w:rPr>
                <w:b/>
              </w:rPr>
            </w:pPr>
            <w:r>
              <w:rPr>
                <w:b/>
              </w:rPr>
              <w:t>What is</w:t>
            </w:r>
            <w:r w:rsidR="001C6D22">
              <w:rPr>
                <w:b/>
              </w:rPr>
              <w:t>/Who are</w:t>
            </w:r>
            <w:r>
              <w:rPr>
                <w:b/>
              </w:rPr>
              <w:t xml:space="preserve"> </w:t>
            </w:r>
            <w:r w:rsidR="00BF08D5">
              <w:rPr>
                <w:b/>
              </w:rPr>
              <w:t>IT Services</w:t>
            </w:r>
            <w:r>
              <w:rPr>
                <w:b/>
              </w:rPr>
              <w:t>?</w:t>
            </w:r>
          </w:p>
          <w:p w:rsidR="003D3432" w:rsidRPr="003D3432" w:rsidRDefault="00BF08D5" w:rsidP="000B4B43">
            <w:pPr>
              <w:spacing w:before="120" w:after="120"/>
            </w:pPr>
            <w:r w:rsidRPr="000D2622">
              <w:t xml:space="preserve">University IT Services provides </w:t>
            </w:r>
            <w:r>
              <w:t xml:space="preserve">the IT network, </w:t>
            </w:r>
            <w:r w:rsidRPr="000D2622">
              <w:t xml:space="preserve">infrastructure </w:t>
            </w:r>
            <w:r>
              <w:t xml:space="preserve">and support </w:t>
            </w:r>
            <w:r w:rsidRPr="000D2622">
              <w:t>for UAL. This includes computers and mobile devices, and applications to support the work of staff and students.</w:t>
            </w:r>
            <w:r>
              <w:t xml:space="preserve"> In addition the department manages a large portfolio of business change projects.</w:t>
            </w:r>
          </w:p>
        </w:tc>
      </w:tr>
      <w:tr w:rsidR="00594C01" w:rsidRPr="00C007C8" w:rsidTr="000C0840">
        <w:tc>
          <w:tcPr>
            <w:tcW w:w="9214" w:type="dxa"/>
            <w:gridSpan w:val="3"/>
          </w:tcPr>
          <w:p w:rsidR="00594C01" w:rsidRPr="003D3432" w:rsidRDefault="003D3432" w:rsidP="000B4B43">
            <w:pPr>
              <w:spacing w:before="120" w:after="120"/>
              <w:rPr>
                <w:b/>
              </w:rPr>
            </w:pPr>
            <w:r>
              <w:rPr>
                <w:b/>
              </w:rPr>
              <w:t>What is the purpose of the role?</w:t>
            </w:r>
          </w:p>
          <w:p w:rsidR="00273FAC" w:rsidRDefault="00BF08D5" w:rsidP="003D3432">
            <w:pPr>
              <w:pStyle w:val="ListBullet"/>
              <w:numPr>
                <w:ilvl w:val="0"/>
                <w:numId w:val="0"/>
              </w:numPr>
            </w:pPr>
            <w:r w:rsidRPr="00BF08D5">
              <w:t>To provide specialist support in the Business Services Team, developing and maintaining supported services and their components, liaising with technical teams and external suppliers where required. To perform requirements analysis for change initiatives, contributing towards projects relating to the development and implementation of business services. To ensure release processes and procedures are maintained, enabling smooth transition into operations. The Business Services team promotes a customer-centric and business-focused approach to service management, aligning business objectives with IT from strategy through to operations and continual service improvements.</w:t>
            </w:r>
          </w:p>
          <w:p w:rsidR="001C6D22" w:rsidRPr="003D3432" w:rsidRDefault="001C6D22" w:rsidP="003D3432">
            <w:pPr>
              <w:pStyle w:val="ListBullet"/>
              <w:numPr>
                <w:ilvl w:val="0"/>
                <w:numId w:val="0"/>
              </w:numPr>
            </w:pPr>
          </w:p>
        </w:tc>
      </w:tr>
      <w:tr w:rsidR="00594C01" w:rsidRPr="00C007C8" w:rsidTr="000C0840">
        <w:tc>
          <w:tcPr>
            <w:tcW w:w="9214" w:type="dxa"/>
            <w:gridSpan w:val="3"/>
          </w:tcPr>
          <w:p w:rsidR="00594C01" w:rsidRDefault="00594C01" w:rsidP="000B4B43">
            <w:pPr>
              <w:spacing w:before="120" w:after="120"/>
              <w:rPr>
                <w:b/>
              </w:rPr>
            </w:pPr>
            <w:r w:rsidRPr="003D3432">
              <w:rPr>
                <w:b/>
              </w:rPr>
              <w:t>Duties and Responsibilities</w:t>
            </w:r>
          </w:p>
          <w:p w:rsidR="00BF08D5" w:rsidRPr="004F50C7" w:rsidRDefault="00BF08D5" w:rsidP="00BF08D5">
            <w:pPr>
              <w:pStyle w:val="ListParagraph"/>
              <w:numPr>
                <w:ilvl w:val="0"/>
                <w:numId w:val="42"/>
              </w:numPr>
              <w:spacing w:after="200" w:line="276" w:lineRule="auto"/>
              <w:contextualSpacing/>
              <w:rPr>
                <w:rFonts w:cs="Arial"/>
                <w:color w:val="000000"/>
                <w:szCs w:val="22"/>
              </w:rPr>
            </w:pPr>
            <w:r w:rsidRPr="004F50C7">
              <w:rPr>
                <w:rFonts w:cs="Arial"/>
                <w:color w:val="000000"/>
                <w:szCs w:val="22"/>
              </w:rPr>
              <w:t>Coordinate the Business Services Team service operation processes to help ensure that service targets are met by investigating, diagnosing and contributing to the resolution of all incidents, service requests and potential and actual service problems.</w:t>
            </w:r>
          </w:p>
          <w:p w:rsidR="00BF08D5" w:rsidRPr="004F50C7" w:rsidRDefault="00BF08D5" w:rsidP="00BF08D5">
            <w:pPr>
              <w:pStyle w:val="ListParagraph"/>
              <w:numPr>
                <w:ilvl w:val="0"/>
                <w:numId w:val="42"/>
              </w:numPr>
              <w:spacing w:after="200" w:line="276" w:lineRule="auto"/>
              <w:contextualSpacing/>
              <w:rPr>
                <w:rFonts w:cs="Arial"/>
                <w:color w:val="000000"/>
                <w:szCs w:val="22"/>
              </w:rPr>
            </w:pPr>
            <w:r w:rsidRPr="004F50C7">
              <w:rPr>
                <w:rFonts w:cs="Arial"/>
                <w:color w:val="000000"/>
                <w:szCs w:val="22"/>
              </w:rPr>
              <w:t>Coordinate relevant changes and releases, contributing towards the reduction of known errors and the increase in business value.</w:t>
            </w:r>
          </w:p>
          <w:p w:rsidR="00BF08D5" w:rsidRPr="004F50C7" w:rsidRDefault="00BF08D5" w:rsidP="00BF08D5">
            <w:pPr>
              <w:pStyle w:val="ListParagraph"/>
              <w:numPr>
                <w:ilvl w:val="0"/>
                <w:numId w:val="42"/>
              </w:numPr>
              <w:spacing w:after="200" w:line="276" w:lineRule="auto"/>
              <w:contextualSpacing/>
              <w:rPr>
                <w:rFonts w:cs="Arial"/>
                <w:color w:val="000000"/>
                <w:szCs w:val="22"/>
              </w:rPr>
            </w:pPr>
            <w:r w:rsidRPr="004F50C7">
              <w:rPr>
                <w:rFonts w:cs="Arial"/>
                <w:color w:val="000000"/>
                <w:szCs w:val="22"/>
              </w:rPr>
              <w:t>Coordinate external and internal suppliers, liaising with Business Service customers to help ensure good service delivery.</w:t>
            </w:r>
          </w:p>
          <w:p w:rsidR="00BF08D5" w:rsidRPr="004F50C7" w:rsidRDefault="00BF08D5" w:rsidP="00BF08D5">
            <w:pPr>
              <w:pStyle w:val="ListParagraph"/>
              <w:numPr>
                <w:ilvl w:val="0"/>
                <w:numId w:val="42"/>
              </w:numPr>
              <w:spacing w:after="200" w:line="276" w:lineRule="auto"/>
              <w:contextualSpacing/>
              <w:rPr>
                <w:rFonts w:cs="Arial"/>
                <w:color w:val="000000"/>
                <w:szCs w:val="22"/>
              </w:rPr>
            </w:pPr>
            <w:r w:rsidRPr="004F50C7">
              <w:rPr>
                <w:rFonts w:cs="Arial"/>
                <w:color w:val="000000"/>
                <w:szCs w:val="22"/>
              </w:rPr>
              <w:t>Contribute towards the maintenance and development of designated services within the service portfolio / catalogue, and service assets within the IT configuration.</w:t>
            </w:r>
          </w:p>
          <w:p w:rsidR="00BF08D5" w:rsidRPr="004F50C7" w:rsidRDefault="00BF08D5" w:rsidP="00BF08D5">
            <w:pPr>
              <w:pStyle w:val="ListParagraph"/>
              <w:numPr>
                <w:ilvl w:val="0"/>
                <w:numId w:val="42"/>
              </w:numPr>
              <w:spacing w:after="200" w:line="276" w:lineRule="auto"/>
              <w:contextualSpacing/>
              <w:rPr>
                <w:rFonts w:cs="Arial"/>
                <w:color w:val="000000"/>
                <w:szCs w:val="22"/>
              </w:rPr>
            </w:pPr>
            <w:r w:rsidRPr="004F50C7">
              <w:rPr>
                <w:rFonts w:cs="Arial"/>
                <w:color w:val="000000"/>
                <w:szCs w:val="22"/>
              </w:rPr>
              <w:t>Contribute towards the Business Services team’s service design processes to develop services and solutions in support of business objectives.</w:t>
            </w:r>
          </w:p>
          <w:p w:rsidR="00BF08D5" w:rsidRPr="004F50C7" w:rsidRDefault="00BF08D5" w:rsidP="00BF08D5">
            <w:pPr>
              <w:pStyle w:val="ListParagraph"/>
              <w:numPr>
                <w:ilvl w:val="0"/>
                <w:numId w:val="42"/>
              </w:numPr>
              <w:spacing w:after="200" w:line="276" w:lineRule="auto"/>
              <w:contextualSpacing/>
              <w:rPr>
                <w:rFonts w:cs="Arial"/>
                <w:color w:val="000000"/>
                <w:szCs w:val="22"/>
              </w:rPr>
            </w:pPr>
            <w:r w:rsidRPr="004F50C7">
              <w:rPr>
                <w:rFonts w:cs="Arial"/>
                <w:color w:val="000000"/>
                <w:szCs w:val="22"/>
              </w:rPr>
              <w:t xml:space="preserve">Contribute towards the Business Services team’s service transition processes to ensure that all changes are introduced into operations with the correct support in place. </w:t>
            </w:r>
          </w:p>
          <w:p w:rsidR="00BF08D5" w:rsidRPr="004F50C7" w:rsidRDefault="00BF08D5" w:rsidP="00BF08D5">
            <w:pPr>
              <w:pStyle w:val="ListParagraph"/>
              <w:numPr>
                <w:ilvl w:val="0"/>
                <w:numId w:val="42"/>
              </w:numPr>
              <w:spacing w:after="200" w:line="276" w:lineRule="auto"/>
              <w:contextualSpacing/>
              <w:rPr>
                <w:rFonts w:cs="Arial"/>
                <w:color w:val="000000"/>
                <w:szCs w:val="22"/>
              </w:rPr>
            </w:pPr>
            <w:r w:rsidRPr="004F50C7">
              <w:rPr>
                <w:rFonts w:cs="Arial"/>
                <w:color w:val="000000"/>
                <w:szCs w:val="22"/>
              </w:rPr>
              <w:t>Contribute towards the IT Services continuous improvement programme.</w:t>
            </w:r>
          </w:p>
          <w:p w:rsidR="00BF08D5" w:rsidRPr="004F50C7" w:rsidRDefault="00BF08D5" w:rsidP="00BF08D5">
            <w:pPr>
              <w:pStyle w:val="ListParagraph"/>
              <w:numPr>
                <w:ilvl w:val="0"/>
                <w:numId w:val="42"/>
              </w:numPr>
              <w:spacing w:after="200" w:line="276" w:lineRule="auto"/>
              <w:contextualSpacing/>
              <w:rPr>
                <w:rFonts w:cs="Arial"/>
                <w:color w:val="000000"/>
                <w:szCs w:val="22"/>
              </w:rPr>
            </w:pPr>
            <w:r w:rsidRPr="004F50C7">
              <w:rPr>
                <w:rFonts w:cs="Arial"/>
                <w:color w:val="000000"/>
                <w:szCs w:val="22"/>
              </w:rPr>
              <w:t>Contribute to business services projects as required.</w:t>
            </w:r>
          </w:p>
          <w:p w:rsidR="00BF08D5" w:rsidRPr="004F50C7" w:rsidRDefault="00BF08D5" w:rsidP="00BF08D5">
            <w:pPr>
              <w:pStyle w:val="ListParagraph"/>
              <w:numPr>
                <w:ilvl w:val="0"/>
                <w:numId w:val="42"/>
              </w:numPr>
              <w:spacing w:after="200" w:line="276" w:lineRule="auto"/>
              <w:contextualSpacing/>
              <w:rPr>
                <w:rFonts w:cs="Arial"/>
                <w:color w:val="000000"/>
                <w:szCs w:val="22"/>
              </w:rPr>
            </w:pPr>
            <w:r w:rsidRPr="004F50C7">
              <w:rPr>
                <w:rFonts w:cs="Arial"/>
                <w:color w:val="000000"/>
                <w:szCs w:val="22"/>
              </w:rPr>
              <w:t>Support configuration management processes in relation to designated services and assets.</w:t>
            </w:r>
          </w:p>
          <w:p w:rsidR="00BF08D5" w:rsidRPr="004F50C7" w:rsidRDefault="00BF08D5" w:rsidP="00BF08D5">
            <w:pPr>
              <w:pStyle w:val="ListParagraph"/>
              <w:numPr>
                <w:ilvl w:val="0"/>
                <w:numId w:val="42"/>
              </w:numPr>
              <w:spacing w:after="200" w:line="276" w:lineRule="auto"/>
              <w:contextualSpacing/>
              <w:rPr>
                <w:rFonts w:cs="Arial"/>
                <w:color w:val="000000"/>
                <w:szCs w:val="22"/>
              </w:rPr>
            </w:pPr>
            <w:r w:rsidRPr="004F50C7">
              <w:rPr>
                <w:rFonts w:cs="Arial"/>
                <w:color w:val="000000"/>
                <w:szCs w:val="22"/>
              </w:rPr>
              <w:t>Conduct and document technical readiness testing for supported business services and prospective products.</w:t>
            </w:r>
          </w:p>
          <w:p w:rsidR="00BF08D5" w:rsidRPr="004F50C7" w:rsidRDefault="00BF08D5" w:rsidP="00BF08D5">
            <w:pPr>
              <w:pStyle w:val="ListParagraph"/>
              <w:numPr>
                <w:ilvl w:val="0"/>
                <w:numId w:val="42"/>
              </w:numPr>
              <w:spacing w:after="200" w:line="276" w:lineRule="auto"/>
              <w:contextualSpacing/>
              <w:rPr>
                <w:rFonts w:cs="Arial"/>
                <w:color w:val="000000"/>
                <w:szCs w:val="22"/>
              </w:rPr>
            </w:pPr>
            <w:r w:rsidRPr="004F50C7">
              <w:rPr>
                <w:rFonts w:cs="Arial"/>
                <w:color w:val="000000"/>
                <w:szCs w:val="22"/>
              </w:rPr>
              <w:t>Responsible for the maintenance of service documentation.</w:t>
            </w:r>
          </w:p>
          <w:p w:rsidR="00BF08D5" w:rsidRPr="004F50C7" w:rsidRDefault="00BF08D5" w:rsidP="00BF08D5">
            <w:pPr>
              <w:pStyle w:val="ListParagraph"/>
              <w:numPr>
                <w:ilvl w:val="0"/>
                <w:numId w:val="42"/>
              </w:numPr>
              <w:spacing w:after="200" w:line="276" w:lineRule="auto"/>
              <w:contextualSpacing/>
              <w:rPr>
                <w:rFonts w:cs="Arial"/>
                <w:color w:val="000000"/>
                <w:szCs w:val="22"/>
              </w:rPr>
            </w:pPr>
            <w:r w:rsidRPr="004F50C7">
              <w:rPr>
                <w:rFonts w:cs="Arial"/>
                <w:color w:val="000000"/>
                <w:szCs w:val="22"/>
              </w:rPr>
              <w:t>Assists business service owners in defining their users’ access rights and privileges.</w:t>
            </w:r>
          </w:p>
          <w:p w:rsidR="00BF08D5" w:rsidRPr="004F50C7" w:rsidRDefault="00BF08D5" w:rsidP="00BF08D5">
            <w:pPr>
              <w:pStyle w:val="ListParagraph"/>
              <w:numPr>
                <w:ilvl w:val="0"/>
                <w:numId w:val="42"/>
              </w:numPr>
              <w:spacing w:after="200" w:line="276" w:lineRule="auto"/>
              <w:contextualSpacing/>
              <w:rPr>
                <w:rFonts w:cs="Arial"/>
                <w:color w:val="000000"/>
                <w:szCs w:val="22"/>
              </w:rPr>
            </w:pPr>
            <w:r w:rsidRPr="004F50C7">
              <w:rPr>
                <w:rFonts w:cs="Arial"/>
                <w:color w:val="000000"/>
                <w:szCs w:val="22"/>
              </w:rPr>
              <w:t>Manage and monitor performance of enterprise applications.</w:t>
            </w:r>
          </w:p>
          <w:p w:rsidR="00BF08D5" w:rsidRPr="004F50C7" w:rsidRDefault="00BF08D5" w:rsidP="00BF08D5">
            <w:pPr>
              <w:pStyle w:val="ListParagraph"/>
              <w:numPr>
                <w:ilvl w:val="0"/>
                <w:numId w:val="42"/>
              </w:numPr>
              <w:spacing w:after="200" w:line="276" w:lineRule="auto"/>
              <w:contextualSpacing/>
              <w:rPr>
                <w:rFonts w:cs="Arial"/>
                <w:color w:val="000000"/>
                <w:szCs w:val="22"/>
              </w:rPr>
            </w:pPr>
            <w:r w:rsidRPr="004F50C7">
              <w:rPr>
                <w:rFonts w:cs="Arial"/>
                <w:color w:val="000000"/>
                <w:szCs w:val="22"/>
              </w:rPr>
              <w:lastRenderedPageBreak/>
              <w:t>Conveying technical concepts to non-technical staff.</w:t>
            </w:r>
          </w:p>
          <w:p w:rsidR="00BF08D5" w:rsidRPr="004F50C7" w:rsidRDefault="00BF08D5" w:rsidP="00BF08D5">
            <w:pPr>
              <w:pStyle w:val="ListParagraph"/>
              <w:numPr>
                <w:ilvl w:val="0"/>
                <w:numId w:val="42"/>
              </w:numPr>
              <w:spacing w:after="200" w:line="276" w:lineRule="auto"/>
              <w:contextualSpacing/>
              <w:rPr>
                <w:rFonts w:cs="Arial"/>
                <w:color w:val="000000"/>
                <w:szCs w:val="22"/>
              </w:rPr>
            </w:pPr>
            <w:r w:rsidRPr="004F50C7">
              <w:rPr>
                <w:rFonts w:cs="Arial"/>
                <w:color w:val="000000"/>
                <w:szCs w:val="22"/>
              </w:rPr>
              <w:t>Research and remain informed of new technology and development tools.</w:t>
            </w:r>
          </w:p>
          <w:p w:rsidR="00BF08D5" w:rsidRPr="004F50C7" w:rsidRDefault="00BF08D5" w:rsidP="00BF08D5">
            <w:pPr>
              <w:pStyle w:val="ListParagraph"/>
              <w:numPr>
                <w:ilvl w:val="0"/>
                <w:numId w:val="42"/>
              </w:numPr>
              <w:spacing w:line="276" w:lineRule="auto"/>
              <w:contextualSpacing/>
              <w:rPr>
                <w:rFonts w:cs="Arial"/>
                <w:szCs w:val="22"/>
              </w:rPr>
            </w:pPr>
            <w:r w:rsidRPr="004F50C7">
              <w:rPr>
                <w:rFonts w:cs="Arial"/>
                <w:szCs w:val="22"/>
              </w:rPr>
              <w:t>Plan and prioritise own workload to meet service or project requirements and personal objectives.</w:t>
            </w:r>
          </w:p>
          <w:p w:rsidR="003D5FCE" w:rsidRPr="004F50C7" w:rsidRDefault="003D5FCE" w:rsidP="00BF08D5">
            <w:pPr>
              <w:pStyle w:val="ListParagraph"/>
              <w:ind w:left="360"/>
              <w:rPr>
                <w:szCs w:val="22"/>
              </w:rPr>
            </w:pPr>
          </w:p>
          <w:p w:rsidR="00BF08D5" w:rsidRDefault="00BF08D5" w:rsidP="007166ED">
            <w:pPr>
              <w:rPr>
                <w:b/>
              </w:rPr>
            </w:pPr>
          </w:p>
          <w:p w:rsidR="00DE696E" w:rsidRPr="003D3432" w:rsidRDefault="00DE696E" w:rsidP="000B4B43">
            <w:pPr>
              <w:spacing w:after="120"/>
              <w:rPr>
                <w:b/>
              </w:rPr>
            </w:pPr>
            <w:r w:rsidRPr="003D3432">
              <w:rPr>
                <w:b/>
              </w:rPr>
              <w:t xml:space="preserve">General </w:t>
            </w:r>
          </w:p>
          <w:p w:rsidR="00DE696E" w:rsidRPr="003D3432" w:rsidRDefault="00DE696E" w:rsidP="00BF08D5">
            <w:pPr>
              <w:pStyle w:val="ListParagraph"/>
              <w:numPr>
                <w:ilvl w:val="0"/>
                <w:numId w:val="42"/>
              </w:numPr>
            </w:pPr>
            <w:r w:rsidRPr="003D3432">
              <w:t xml:space="preserve">Assume other reasonable duties consistent with your role, as determined </w:t>
            </w:r>
            <w:r w:rsidR="00BF08D5">
              <w:t>your line manager</w:t>
            </w:r>
            <w:r w:rsidRPr="003D3432">
              <w:t>, which may be assigned to you anywhere within the University.</w:t>
            </w:r>
          </w:p>
          <w:p w:rsidR="00DE696E" w:rsidRDefault="00DE696E" w:rsidP="00BF08D5">
            <w:pPr>
              <w:pStyle w:val="ListParagraph"/>
              <w:numPr>
                <w:ilvl w:val="0"/>
                <w:numId w:val="42"/>
              </w:numPr>
            </w:pPr>
            <w:r w:rsidRPr="003D3432">
              <w:t>Undertake health and safety duties and responsibilities appropriate to the role.</w:t>
            </w:r>
          </w:p>
          <w:p w:rsidR="00BF08D5" w:rsidRPr="003D3432" w:rsidRDefault="00BF08D5" w:rsidP="00BF08D5">
            <w:pPr>
              <w:pStyle w:val="ListParagraph"/>
              <w:numPr>
                <w:ilvl w:val="0"/>
                <w:numId w:val="42"/>
              </w:numPr>
            </w:pPr>
            <w:r w:rsidRPr="00BF08D5">
              <w:t>To work in accordance with the University’s Equal Opportunities Policy and the Staff Charter, promoting</w:t>
            </w:r>
            <w:r>
              <w:t xml:space="preserve"> equality and diversity in your work.</w:t>
            </w:r>
          </w:p>
          <w:p w:rsidR="00202643" w:rsidRDefault="00202643" w:rsidP="00202643">
            <w:pPr>
              <w:pStyle w:val="ListParagraph"/>
              <w:numPr>
                <w:ilvl w:val="0"/>
                <w:numId w:val="42"/>
              </w:numPr>
            </w:pPr>
            <w:r w:rsidRPr="00202643">
              <w:t>To personally contribute towards reducing the university’s impact on the environment and support actions</w:t>
            </w:r>
            <w:r>
              <w:t xml:space="preserve"> associated with the UAL Sustainability Manifesto (2016 – 2022).</w:t>
            </w:r>
          </w:p>
          <w:p w:rsidR="00DE696E" w:rsidRPr="003D3432" w:rsidRDefault="00DE696E" w:rsidP="00BF08D5">
            <w:pPr>
              <w:pStyle w:val="ListParagraph"/>
              <w:numPr>
                <w:ilvl w:val="0"/>
                <w:numId w:val="42"/>
              </w:numPr>
            </w:pPr>
            <w:r w:rsidRPr="003D3432">
              <w:t>Undertake continuous personal and professional development, and to support it for any staff you manage through effective use of the University’s Planning, Review and Appraisal scheme and staff development opportunities.</w:t>
            </w:r>
          </w:p>
          <w:p w:rsidR="00DE696E" w:rsidRPr="003D3432" w:rsidRDefault="00DE696E" w:rsidP="00BF08D5">
            <w:pPr>
              <w:pStyle w:val="ListParagraph"/>
              <w:numPr>
                <w:ilvl w:val="0"/>
                <w:numId w:val="42"/>
              </w:numPr>
            </w:pPr>
            <w:r w:rsidRPr="003D3432">
              <w:t>Make full use of all information and communication technologies in adherence to data protection policies to meet the requirements of the role and to promote organisational effectiveness.</w:t>
            </w:r>
          </w:p>
          <w:p w:rsidR="00DE696E" w:rsidRPr="003D3432" w:rsidRDefault="00DE696E" w:rsidP="00BF08D5">
            <w:pPr>
              <w:pStyle w:val="ListParagraph"/>
              <w:numPr>
                <w:ilvl w:val="0"/>
                <w:numId w:val="42"/>
              </w:numPr>
            </w:pPr>
            <w:r w:rsidRPr="003D3432">
              <w:t xml:space="preserve">Conduct all financial matters associated with the role accordance </w:t>
            </w:r>
            <w:r w:rsidR="001C6D22">
              <w:t>to</w:t>
            </w:r>
            <w:r w:rsidRPr="003D3432">
              <w:t xml:space="preserve"> the University’s policies and procedures, as laid down in the Financial Regulations.</w:t>
            </w:r>
          </w:p>
          <w:p w:rsidR="00594C01" w:rsidRPr="003D3432" w:rsidRDefault="00594C01" w:rsidP="00DE696E"/>
        </w:tc>
      </w:tr>
      <w:tr w:rsidR="00594C01" w:rsidRPr="00C007C8" w:rsidTr="00150DEB">
        <w:trPr>
          <w:trHeight w:val="406"/>
        </w:trPr>
        <w:tc>
          <w:tcPr>
            <w:tcW w:w="9214" w:type="dxa"/>
            <w:gridSpan w:val="3"/>
          </w:tcPr>
          <w:p w:rsidR="00C36210" w:rsidRPr="003D3432" w:rsidRDefault="00594C01" w:rsidP="000B4B43">
            <w:pPr>
              <w:spacing w:before="120" w:after="120"/>
            </w:pPr>
            <w:r w:rsidRPr="003D3432">
              <w:rPr>
                <w:b/>
              </w:rPr>
              <w:lastRenderedPageBreak/>
              <w:t>Key Working Relationships</w:t>
            </w:r>
          </w:p>
          <w:p w:rsidR="000B4B43" w:rsidRDefault="00BF08D5" w:rsidP="001C6D22">
            <w:pPr>
              <w:pStyle w:val="ListParagraph"/>
              <w:numPr>
                <w:ilvl w:val="0"/>
                <w:numId w:val="34"/>
              </w:numPr>
            </w:pPr>
            <w:r>
              <w:t>Systems Owners</w:t>
            </w:r>
          </w:p>
          <w:p w:rsidR="00BF08D5" w:rsidRDefault="00BF08D5" w:rsidP="001C6D22">
            <w:pPr>
              <w:pStyle w:val="ListParagraph"/>
              <w:numPr>
                <w:ilvl w:val="0"/>
                <w:numId w:val="34"/>
              </w:numPr>
            </w:pPr>
            <w:r>
              <w:t>Third party suppliers</w:t>
            </w:r>
          </w:p>
          <w:p w:rsidR="00BF08D5" w:rsidRDefault="00BF08D5" w:rsidP="001C6D22">
            <w:pPr>
              <w:pStyle w:val="ListParagraph"/>
              <w:numPr>
                <w:ilvl w:val="0"/>
                <w:numId w:val="34"/>
              </w:numPr>
            </w:pPr>
            <w:r>
              <w:t>Technical Services team</w:t>
            </w:r>
          </w:p>
          <w:p w:rsidR="00BF08D5" w:rsidRDefault="00BF08D5" w:rsidP="001C6D22">
            <w:pPr>
              <w:pStyle w:val="ListParagraph"/>
              <w:numPr>
                <w:ilvl w:val="0"/>
                <w:numId w:val="34"/>
              </w:numPr>
            </w:pPr>
            <w:r>
              <w:t>Web Services team</w:t>
            </w:r>
          </w:p>
          <w:p w:rsidR="00BF08D5" w:rsidRDefault="00BF08D5" w:rsidP="001C6D22">
            <w:pPr>
              <w:pStyle w:val="ListParagraph"/>
              <w:numPr>
                <w:ilvl w:val="0"/>
                <w:numId w:val="34"/>
              </w:numPr>
            </w:pPr>
            <w:r>
              <w:t>Service Desk Analysts</w:t>
            </w:r>
          </w:p>
          <w:p w:rsidR="00BF08D5" w:rsidRDefault="00BF08D5" w:rsidP="001C6D22">
            <w:pPr>
              <w:pStyle w:val="ListParagraph"/>
              <w:numPr>
                <w:ilvl w:val="0"/>
                <w:numId w:val="34"/>
              </w:numPr>
            </w:pPr>
            <w:r>
              <w:t>Project Managers</w:t>
            </w:r>
          </w:p>
          <w:p w:rsidR="00BF08D5" w:rsidRDefault="00BF08D5" w:rsidP="001C6D22">
            <w:pPr>
              <w:pStyle w:val="ListParagraph"/>
              <w:numPr>
                <w:ilvl w:val="0"/>
                <w:numId w:val="34"/>
              </w:numPr>
            </w:pPr>
            <w:r>
              <w:t>Business Analysts</w:t>
            </w:r>
          </w:p>
          <w:p w:rsidR="001C6D22" w:rsidRDefault="00BF08D5" w:rsidP="00BF08D5">
            <w:pPr>
              <w:pStyle w:val="ListParagraph"/>
              <w:numPr>
                <w:ilvl w:val="0"/>
                <w:numId w:val="34"/>
              </w:numPr>
            </w:pPr>
            <w:r>
              <w:t>Solutions Architects</w:t>
            </w:r>
          </w:p>
          <w:p w:rsidR="00BF08D5" w:rsidRPr="003D3432" w:rsidRDefault="00BF08D5" w:rsidP="00BF08D5"/>
        </w:tc>
      </w:tr>
      <w:tr w:rsidR="00594C01" w:rsidRPr="00C007C8" w:rsidTr="000C0840">
        <w:tc>
          <w:tcPr>
            <w:tcW w:w="9214" w:type="dxa"/>
            <w:gridSpan w:val="3"/>
          </w:tcPr>
          <w:p w:rsidR="00594C01" w:rsidRPr="003D3432" w:rsidRDefault="00594C01" w:rsidP="000B4B43">
            <w:pPr>
              <w:spacing w:before="120" w:after="120"/>
              <w:rPr>
                <w:b/>
              </w:rPr>
            </w:pPr>
            <w:r w:rsidRPr="003D3432">
              <w:rPr>
                <w:b/>
              </w:rPr>
              <w:t>Specific Management Responsibilities</w:t>
            </w:r>
          </w:p>
          <w:p w:rsidR="00594C01" w:rsidRPr="003D3432" w:rsidRDefault="00594C01" w:rsidP="00C007C8">
            <w:r w:rsidRPr="003D3432">
              <w:t>Budgets:</w:t>
            </w:r>
            <w:r w:rsidR="00B26E52" w:rsidRPr="003D3432">
              <w:t xml:space="preserve"> </w:t>
            </w:r>
            <w:r w:rsidR="00BF08D5">
              <w:t>None</w:t>
            </w:r>
          </w:p>
          <w:p w:rsidR="00594C01" w:rsidRPr="003D3432" w:rsidRDefault="00594C01" w:rsidP="00C007C8">
            <w:r w:rsidRPr="003D3432">
              <w:t>Staff:</w:t>
            </w:r>
            <w:r w:rsidR="00B26E52" w:rsidRPr="003D3432">
              <w:t xml:space="preserve"> </w:t>
            </w:r>
            <w:r w:rsidR="00BF08D5">
              <w:t>None</w:t>
            </w:r>
          </w:p>
          <w:p w:rsidR="000B4B43" w:rsidRPr="003D3432" w:rsidRDefault="00594C01" w:rsidP="00C007C8">
            <w:r w:rsidRPr="003D3432">
              <w:t>Other (e.g. accommodation; equipment):</w:t>
            </w:r>
            <w:r w:rsidR="006F53E4" w:rsidRPr="003D3432">
              <w:t xml:space="preserve"> </w:t>
            </w:r>
            <w:r w:rsidR="00BF08D5">
              <w:t>None</w:t>
            </w:r>
          </w:p>
        </w:tc>
      </w:tr>
    </w:tbl>
    <w:p w:rsidR="00594C01" w:rsidRPr="00C007C8" w:rsidRDefault="00594C01" w:rsidP="00C007C8"/>
    <w:p w:rsidR="001C6D22" w:rsidRDefault="00FC2F78" w:rsidP="00815AAD">
      <w:pPr>
        <w:ind w:left="-142"/>
      </w:pPr>
      <w:r>
        <w:t>Last updated</w:t>
      </w:r>
      <w:r w:rsidR="00C007C8">
        <w:t xml:space="preserve">: </w:t>
      </w:r>
      <w:r w:rsidR="00BF08D5">
        <w:t>21</w:t>
      </w:r>
      <w:r w:rsidR="00BF08D5" w:rsidRPr="00BF08D5">
        <w:rPr>
          <w:vertAlign w:val="superscript"/>
        </w:rPr>
        <w:t>st</w:t>
      </w:r>
      <w:r w:rsidR="00BF08D5">
        <w:t xml:space="preserve"> August 2018</w:t>
      </w:r>
    </w:p>
    <w:p w:rsidR="001C6D22" w:rsidRDefault="001C6D22" w:rsidP="00815AAD">
      <w:pPr>
        <w:ind w:left="-142"/>
      </w:pPr>
    </w:p>
    <w:p w:rsidR="001C6D22" w:rsidRDefault="001C6D22" w:rsidP="00815AAD">
      <w:pPr>
        <w:ind w:left="-142"/>
      </w:pPr>
    </w:p>
    <w:p w:rsidR="00DE696E" w:rsidRDefault="00DE696E" w:rsidP="00BF08D5">
      <w:r>
        <w:br w:type="page"/>
      </w:r>
    </w:p>
    <w:p w:rsidR="00594C01" w:rsidRPr="00C007C8" w:rsidRDefault="00594C01" w:rsidP="00C007C8"/>
    <w:p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46"/>
        <w:gridCol w:w="5270"/>
      </w:tblGrid>
      <w:tr w:rsidR="00DE696E" w:rsidRPr="005D7A28" w:rsidTr="00AB02FE">
        <w:trPr>
          <w:trHeight w:val="410"/>
        </w:trPr>
        <w:tc>
          <w:tcPr>
            <w:tcW w:w="9016" w:type="dxa"/>
            <w:gridSpan w:val="2"/>
            <w:shd w:val="clear" w:color="auto" w:fill="000000" w:themeFill="text1"/>
            <w:vAlign w:val="center"/>
          </w:tcPr>
          <w:p w:rsidR="00DE696E" w:rsidRDefault="00815AAD" w:rsidP="00815AAD">
            <w:pPr>
              <w:jc w:val="center"/>
              <w:rPr>
                <w:rFonts w:ascii="Calibri" w:hAnsi="Calibri" w:cs="Arial"/>
                <w:b/>
              </w:rPr>
            </w:pPr>
            <w:r w:rsidRPr="00815AAD">
              <w:rPr>
                <w:rFonts w:ascii="Calibri" w:hAnsi="Calibri" w:cs="Arial"/>
                <w:b/>
              </w:rPr>
              <w:t>PERSON SPECIFICATION</w:t>
            </w:r>
          </w:p>
          <w:p w:rsidR="00431B5B" w:rsidRPr="00815AAD" w:rsidRDefault="00431B5B" w:rsidP="00815AAD">
            <w:pPr>
              <w:jc w:val="center"/>
              <w:rPr>
                <w:rFonts w:ascii="Calibri" w:hAnsi="Calibri" w:cs="Arial"/>
                <w:b/>
                <w:color w:val="262626" w:themeColor="text1" w:themeTint="D9"/>
              </w:rPr>
            </w:pPr>
          </w:p>
        </w:tc>
      </w:tr>
      <w:tr w:rsidR="00DE696E" w:rsidRPr="005D7A28" w:rsidTr="00AB02FE">
        <w:tc>
          <w:tcPr>
            <w:tcW w:w="3746" w:type="dxa"/>
          </w:tcPr>
          <w:p w:rsidR="00DE696E" w:rsidRPr="005D7A28" w:rsidRDefault="00DE696E" w:rsidP="001F575A">
            <w:pPr>
              <w:spacing w:before="120" w:after="120"/>
              <w:rPr>
                <w:rFonts w:ascii="Calibri" w:hAnsi="Calibri" w:cs="Arial"/>
              </w:rPr>
            </w:pPr>
            <w:r w:rsidRPr="005D7A28">
              <w:rPr>
                <w:rFonts w:ascii="Calibri" w:hAnsi="Calibri" w:cs="Arial"/>
              </w:rPr>
              <w:t>Specialist Knowledge/Qualifications</w:t>
            </w:r>
          </w:p>
        </w:tc>
        <w:tc>
          <w:tcPr>
            <w:tcW w:w="5270" w:type="dxa"/>
          </w:tcPr>
          <w:p w:rsidR="00BF08D5" w:rsidRPr="00BF08D5" w:rsidRDefault="00BF08D5" w:rsidP="00BF08D5">
            <w:pPr>
              <w:spacing w:before="120" w:after="120"/>
              <w:rPr>
                <w:rFonts w:ascii="Calibri" w:hAnsi="Calibri" w:cs="Arial"/>
              </w:rPr>
            </w:pPr>
            <w:r w:rsidRPr="00BF08D5">
              <w:rPr>
                <w:rFonts w:ascii="Calibri" w:hAnsi="Calibri" w:cs="Arial"/>
              </w:rPr>
              <w:t>Proven experience of delivering application s</w:t>
            </w:r>
            <w:r>
              <w:rPr>
                <w:rFonts w:ascii="Calibri" w:hAnsi="Calibri" w:cs="Arial"/>
              </w:rPr>
              <w:t>upport within an ITIL framework.</w:t>
            </w:r>
          </w:p>
          <w:p w:rsidR="00BF08D5" w:rsidRPr="00BF08D5" w:rsidRDefault="00BF08D5" w:rsidP="00BF08D5">
            <w:pPr>
              <w:spacing w:before="120" w:after="120"/>
              <w:rPr>
                <w:rFonts w:ascii="Calibri" w:hAnsi="Calibri" w:cs="Arial"/>
              </w:rPr>
            </w:pPr>
            <w:r w:rsidRPr="00BF08D5">
              <w:rPr>
                <w:rFonts w:ascii="Calibri" w:hAnsi="Calibri" w:cs="Arial"/>
              </w:rPr>
              <w:t xml:space="preserve">Knowledge and experience, including any relevant qualifications, in any of the following areas: </w:t>
            </w:r>
          </w:p>
          <w:p w:rsidR="00BF08D5" w:rsidRPr="00BF08D5" w:rsidRDefault="00BF08D5" w:rsidP="00BF08D5">
            <w:pPr>
              <w:pStyle w:val="ListParagraph"/>
              <w:numPr>
                <w:ilvl w:val="0"/>
                <w:numId w:val="48"/>
              </w:numPr>
              <w:spacing w:before="120" w:after="120"/>
              <w:rPr>
                <w:rFonts w:ascii="Calibri" w:hAnsi="Calibri" w:cs="Arial"/>
              </w:rPr>
            </w:pPr>
            <w:r w:rsidRPr="00BF08D5">
              <w:rPr>
                <w:rFonts w:ascii="Calibri" w:hAnsi="Calibri" w:cs="Arial"/>
              </w:rPr>
              <w:t>system administrator for Windows and/or Linux operating systems; including working with IIS, Apache, Tomcat technologies</w:t>
            </w:r>
          </w:p>
          <w:p w:rsidR="00BF08D5" w:rsidRPr="00BF08D5" w:rsidRDefault="00BF08D5" w:rsidP="00BF08D5">
            <w:pPr>
              <w:pStyle w:val="ListParagraph"/>
              <w:numPr>
                <w:ilvl w:val="0"/>
                <w:numId w:val="48"/>
              </w:numPr>
              <w:spacing w:before="120" w:after="120"/>
              <w:rPr>
                <w:rFonts w:ascii="Calibri" w:hAnsi="Calibri" w:cs="Arial"/>
              </w:rPr>
            </w:pPr>
            <w:r w:rsidRPr="00BF08D5">
              <w:rPr>
                <w:rFonts w:ascii="Calibri" w:hAnsi="Calibri" w:cs="Arial"/>
              </w:rPr>
              <w:t>working with applications across a variety of architectures (3-tier, client-server)</w:t>
            </w:r>
          </w:p>
          <w:p w:rsidR="00BF08D5" w:rsidRPr="00BF08D5" w:rsidRDefault="00BF08D5" w:rsidP="00BF08D5">
            <w:pPr>
              <w:pStyle w:val="ListParagraph"/>
              <w:numPr>
                <w:ilvl w:val="0"/>
                <w:numId w:val="48"/>
              </w:numPr>
              <w:spacing w:before="120" w:after="120"/>
              <w:rPr>
                <w:rFonts w:ascii="Calibri" w:hAnsi="Calibri" w:cs="Arial"/>
              </w:rPr>
            </w:pPr>
            <w:r w:rsidRPr="00BF08D5">
              <w:rPr>
                <w:rFonts w:ascii="Calibri" w:hAnsi="Calibri" w:cs="Arial"/>
              </w:rPr>
              <w:t>working with relational databases, including MS SQL and Oracle</w:t>
            </w:r>
          </w:p>
          <w:p w:rsidR="00DE696E" w:rsidRPr="00BF08D5" w:rsidRDefault="00BF08D5" w:rsidP="00BF08D5">
            <w:pPr>
              <w:pStyle w:val="ListParagraph"/>
              <w:numPr>
                <w:ilvl w:val="0"/>
                <w:numId w:val="48"/>
              </w:numPr>
              <w:spacing w:before="120" w:after="120"/>
              <w:rPr>
                <w:rFonts w:ascii="Calibri" w:hAnsi="Calibri" w:cs="Arial"/>
              </w:rPr>
            </w:pPr>
            <w:r w:rsidRPr="00BF08D5">
              <w:rPr>
                <w:rFonts w:ascii="Calibri" w:hAnsi="Calibri" w:cs="Arial"/>
              </w:rPr>
              <w:t xml:space="preserve">creating scripts using </w:t>
            </w:r>
            <w:proofErr w:type="spellStart"/>
            <w:r w:rsidRPr="00BF08D5">
              <w:rPr>
                <w:rFonts w:ascii="Calibri" w:hAnsi="Calibri" w:cs="Arial"/>
              </w:rPr>
              <w:t>Powershell</w:t>
            </w:r>
            <w:proofErr w:type="spellEnd"/>
            <w:r w:rsidRPr="00BF08D5">
              <w:rPr>
                <w:rFonts w:ascii="Calibri" w:hAnsi="Calibri" w:cs="Arial"/>
              </w:rPr>
              <w:t xml:space="preserve"> (or similar)</w:t>
            </w:r>
          </w:p>
          <w:p w:rsidR="00603E81" w:rsidRPr="005D7A28" w:rsidRDefault="00603E81" w:rsidP="00DE696E">
            <w:pPr>
              <w:spacing w:before="120" w:after="120"/>
              <w:rPr>
                <w:rFonts w:ascii="Calibri" w:hAnsi="Calibri" w:cs="Arial"/>
              </w:rPr>
            </w:pPr>
          </w:p>
        </w:tc>
      </w:tr>
      <w:tr w:rsidR="00DE696E" w:rsidRPr="005D7A28" w:rsidTr="00AB02FE">
        <w:tc>
          <w:tcPr>
            <w:tcW w:w="3746" w:type="dxa"/>
          </w:tcPr>
          <w:p w:rsidR="00DE696E" w:rsidRPr="005D7A28" w:rsidRDefault="00DE696E" w:rsidP="001F575A">
            <w:pPr>
              <w:rPr>
                <w:rFonts w:ascii="Calibri" w:hAnsi="Calibri" w:cs="Arial"/>
              </w:rPr>
            </w:pPr>
            <w:r w:rsidRPr="005D7A28">
              <w:rPr>
                <w:rFonts w:ascii="Calibri" w:hAnsi="Calibri" w:cs="Arial"/>
              </w:rPr>
              <w:t>Relevant Experience</w:t>
            </w:r>
          </w:p>
        </w:tc>
        <w:tc>
          <w:tcPr>
            <w:tcW w:w="5270" w:type="dxa"/>
          </w:tcPr>
          <w:p w:rsidR="00BF08D5" w:rsidRPr="00BF08D5" w:rsidRDefault="00BF08D5" w:rsidP="00BF08D5">
            <w:pPr>
              <w:spacing w:before="120"/>
              <w:rPr>
                <w:rFonts w:ascii="Calibri" w:hAnsi="Calibri" w:cs="Arial"/>
              </w:rPr>
            </w:pPr>
            <w:r w:rsidRPr="00BF08D5">
              <w:rPr>
                <w:rFonts w:ascii="Calibri" w:hAnsi="Calibri" w:cs="Arial"/>
              </w:rPr>
              <w:t xml:space="preserve">Demonstrable experience of delivering improvements to services ensuring that they deliver to and meet customer needs and/or business objectives. </w:t>
            </w:r>
          </w:p>
          <w:p w:rsidR="00BF08D5" w:rsidRPr="00BF08D5" w:rsidRDefault="00BF08D5" w:rsidP="00BF08D5">
            <w:pPr>
              <w:spacing w:before="120"/>
              <w:rPr>
                <w:rFonts w:ascii="Calibri" w:hAnsi="Calibri" w:cs="Arial"/>
              </w:rPr>
            </w:pPr>
            <w:r w:rsidRPr="00BF08D5">
              <w:rPr>
                <w:rFonts w:ascii="Calibri" w:hAnsi="Calibri" w:cs="Arial"/>
              </w:rPr>
              <w:t>Demonstrable experience in the knowledge and skills in the areas listed below:</w:t>
            </w:r>
          </w:p>
          <w:p w:rsidR="00BF08D5" w:rsidRPr="00BF08D5" w:rsidRDefault="00BF08D5" w:rsidP="00BF08D5">
            <w:pPr>
              <w:pStyle w:val="ListParagraph"/>
              <w:numPr>
                <w:ilvl w:val="0"/>
                <w:numId w:val="49"/>
              </w:numPr>
              <w:spacing w:before="120"/>
              <w:rPr>
                <w:rFonts w:ascii="Calibri" w:hAnsi="Calibri" w:cs="Arial"/>
              </w:rPr>
            </w:pPr>
            <w:r w:rsidRPr="00BF08D5">
              <w:rPr>
                <w:rFonts w:ascii="Calibri" w:hAnsi="Calibri" w:cs="Arial"/>
              </w:rPr>
              <w:t>ITIL best practice guidance, in particular, Incident, Problem and Change Management.</w:t>
            </w:r>
          </w:p>
          <w:p w:rsidR="00BF08D5" w:rsidRPr="00BF08D5" w:rsidRDefault="00BF08D5" w:rsidP="00BF08D5">
            <w:pPr>
              <w:pStyle w:val="ListParagraph"/>
              <w:numPr>
                <w:ilvl w:val="0"/>
                <w:numId w:val="49"/>
              </w:numPr>
              <w:spacing w:before="120"/>
              <w:rPr>
                <w:rFonts w:ascii="Calibri" w:hAnsi="Calibri" w:cs="Arial"/>
              </w:rPr>
            </w:pPr>
            <w:r w:rsidRPr="00BF08D5">
              <w:rPr>
                <w:rFonts w:ascii="Calibri" w:hAnsi="Calibri" w:cs="Arial"/>
              </w:rPr>
              <w:t>Helpdesk call logging/Service Management software</w:t>
            </w:r>
          </w:p>
          <w:p w:rsidR="00BF08D5" w:rsidRPr="00BF08D5" w:rsidRDefault="00BF08D5" w:rsidP="00BF08D5">
            <w:pPr>
              <w:pStyle w:val="ListParagraph"/>
              <w:numPr>
                <w:ilvl w:val="0"/>
                <w:numId w:val="49"/>
              </w:numPr>
              <w:spacing w:before="120"/>
              <w:rPr>
                <w:rFonts w:ascii="Calibri" w:hAnsi="Calibri" w:cs="Arial"/>
              </w:rPr>
            </w:pPr>
            <w:r w:rsidRPr="00BF08D5">
              <w:rPr>
                <w:rFonts w:ascii="Calibri" w:hAnsi="Calibri" w:cs="Arial"/>
              </w:rPr>
              <w:t>Practical experience of producing and maintaining technical and procedural documentation</w:t>
            </w:r>
          </w:p>
          <w:p w:rsidR="00BF08D5" w:rsidRPr="00BF08D5" w:rsidRDefault="00BF08D5" w:rsidP="00BF08D5">
            <w:pPr>
              <w:spacing w:before="120"/>
              <w:rPr>
                <w:rFonts w:ascii="Calibri" w:hAnsi="Calibri" w:cs="Arial"/>
              </w:rPr>
            </w:pPr>
            <w:r w:rsidRPr="00BF08D5">
              <w:rPr>
                <w:rFonts w:ascii="Calibri" w:hAnsi="Calibri" w:cs="Arial"/>
              </w:rPr>
              <w:t>Proven experience of resolving problems and communicating technical information to technical and non-technical audiences</w:t>
            </w:r>
          </w:p>
          <w:p w:rsidR="00BF08D5" w:rsidRPr="00BF08D5" w:rsidRDefault="00BF08D5" w:rsidP="00BF08D5">
            <w:pPr>
              <w:spacing w:before="120"/>
              <w:rPr>
                <w:rFonts w:ascii="Calibri" w:hAnsi="Calibri" w:cs="Arial"/>
              </w:rPr>
            </w:pPr>
            <w:r w:rsidRPr="00BF08D5">
              <w:rPr>
                <w:rFonts w:ascii="Calibri" w:hAnsi="Calibri" w:cs="Arial"/>
              </w:rPr>
              <w:t>Experience of delivering services to agreed service levels; providing suggestions for and delivering improvements and efficiencies to systems and services</w:t>
            </w:r>
          </w:p>
          <w:p w:rsidR="00BF08D5" w:rsidRPr="00BF08D5" w:rsidRDefault="00BF08D5" w:rsidP="00BF08D5">
            <w:pPr>
              <w:spacing w:before="120"/>
              <w:rPr>
                <w:rFonts w:ascii="Calibri" w:hAnsi="Calibri" w:cs="Arial"/>
              </w:rPr>
            </w:pPr>
            <w:r w:rsidRPr="00BF08D5">
              <w:rPr>
                <w:rFonts w:ascii="Calibri" w:hAnsi="Calibri" w:cs="Arial"/>
              </w:rPr>
              <w:t xml:space="preserve">Experience of building and maintaining working relationships with customers and with third party suppliers </w:t>
            </w:r>
          </w:p>
          <w:p w:rsidR="00DE696E" w:rsidRDefault="00BF08D5" w:rsidP="00BF08D5">
            <w:pPr>
              <w:spacing w:before="120"/>
              <w:rPr>
                <w:rFonts w:ascii="Calibri" w:hAnsi="Calibri" w:cs="Arial"/>
              </w:rPr>
            </w:pPr>
            <w:r w:rsidRPr="00BF08D5">
              <w:rPr>
                <w:rFonts w:ascii="Calibri" w:hAnsi="Calibri" w:cs="Arial"/>
              </w:rPr>
              <w:t>Good understanding of current and emerging technologies and standards in the industry</w:t>
            </w:r>
          </w:p>
          <w:p w:rsidR="00603E81" w:rsidRPr="007128A1" w:rsidRDefault="00603E81" w:rsidP="007128A1">
            <w:pPr>
              <w:spacing w:before="120"/>
              <w:rPr>
                <w:rFonts w:ascii="Calibri" w:hAnsi="Calibri" w:cs="Arial"/>
              </w:rPr>
            </w:pPr>
          </w:p>
        </w:tc>
      </w:tr>
      <w:tr w:rsidR="00DE696E" w:rsidRPr="005D7A28" w:rsidTr="00AB02FE">
        <w:tc>
          <w:tcPr>
            <w:tcW w:w="3746" w:type="dxa"/>
            <w:vAlign w:val="center"/>
          </w:tcPr>
          <w:p w:rsidR="00DE696E" w:rsidRPr="005D7A28" w:rsidRDefault="00DE696E" w:rsidP="001F575A">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270" w:type="dxa"/>
            <w:vAlign w:val="center"/>
          </w:tcPr>
          <w:p w:rsidR="00DE696E" w:rsidRDefault="00DE696E" w:rsidP="00603E81">
            <w:pPr>
              <w:rPr>
                <w:rFonts w:ascii="Calibri" w:hAnsi="Calibri" w:cs="Arial"/>
                <w:color w:val="000000"/>
              </w:rPr>
            </w:pPr>
          </w:p>
          <w:p w:rsidR="00603E81" w:rsidRDefault="00AB02FE" w:rsidP="00603E81">
            <w:pPr>
              <w:rPr>
                <w:rFonts w:ascii="Calibri" w:hAnsi="Calibri" w:cs="Arial"/>
                <w:color w:val="000000"/>
              </w:rPr>
            </w:pPr>
            <w:r w:rsidRPr="00AB02FE">
              <w:rPr>
                <w:rFonts w:ascii="Calibri" w:hAnsi="Calibri" w:cs="Arial"/>
                <w:color w:val="000000"/>
              </w:rPr>
              <w:t>Communicates effectively orally, in writing and/or using visual media.</w:t>
            </w:r>
          </w:p>
          <w:p w:rsidR="00603E81" w:rsidRPr="00603E81" w:rsidRDefault="00603E81" w:rsidP="00603E81">
            <w:pPr>
              <w:rPr>
                <w:rFonts w:ascii="Calibri" w:hAnsi="Calibri" w:cs="Arial"/>
                <w:color w:val="000000"/>
              </w:rPr>
            </w:pPr>
          </w:p>
        </w:tc>
      </w:tr>
      <w:tr w:rsidR="00DE696E" w:rsidRPr="005D7A28" w:rsidTr="00AB02FE">
        <w:tc>
          <w:tcPr>
            <w:tcW w:w="3746" w:type="dxa"/>
            <w:vAlign w:val="center"/>
          </w:tcPr>
          <w:p w:rsidR="00DE696E" w:rsidRPr="005D7A28" w:rsidRDefault="00DE696E" w:rsidP="001F575A">
            <w:pPr>
              <w:spacing w:before="120" w:after="120"/>
              <w:rPr>
                <w:rFonts w:ascii="Calibri" w:hAnsi="Calibri" w:cs="Arial"/>
              </w:rPr>
            </w:pPr>
            <w:r w:rsidRPr="005D7A28">
              <w:rPr>
                <w:rFonts w:ascii="Calibri" w:hAnsi="Calibri" w:cs="Arial"/>
              </w:rPr>
              <w:lastRenderedPageBreak/>
              <w:t>Leadership and Management</w:t>
            </w:r>
          </w:p>
        </w:tc>
        <w:tc>
          <w:tcPr>
            <w:tcW w:w="5270" w:type="dxa"/>
            <w:vAlign w:val="center"/>
          </w:tcPr>
          <w:p w:rsidR="00DE696E" w:rsidRPr="00AB02FE" w:rsidRDefault="00AB02FE" w:rsidP="00AB02FE">
            <w:pPr>
              <w:spacing w:before="120" w:after="120"/>
              <w:rPr>
                <w:rFonts w:ascii="Calibri" w:hAnsi="Calibri" w:cs="Arial"/>
              </w:rPr>
            </w:pPr>
            <w:r w:rsidRPr="00AB02FE">
              <w:rPr>
                <w:rFonts w:ascii="Calibri" w:hAnsi="Calibri" w:cs="Arial"/>
              </w:rPr>
              <w:t>Motivates and leads a team effectively, setting clear objectives to manage performance</w:t>
            </w:r>
          </w:p>
          <w:p w:rsidR="00603E81" w:rsidRPr="005D7A28" w:rsidRDefault="00603E81" w:rsidP="007128A1">
            <w:pPr>
              <w:spacing w:before="120" w:after="120"/>
              <w:rPr>
                <w:rFonts w:ascii="Calibri" w:hAnsi="Calibri" w:cs="Arial"/>
                <w:i/>
              </w:rPr>
            </w:pPr>
          </w:p>
        </w:tc>
      </w:tr>
      <w:tr w:rsidR="00DE696E" w:rsidRPr="005D7A28" w:rsidTr="00AB02FE">
        <w:tc>
          <w:tcPr>
            <w:tcW w:w="3746" w:type="dxa"/>
            <w:vAlign w:val="center"/>
          </w:tcPr>
          <w:p w:rsidR="00DE696E" w:rsidRPr="005D7A28" w:rsidRDefault="00DE696E" w:rsidP="001F575A">
            <w:pPr>
              <w:rPr>
                <w:rFonts w:ascii="Calibri" w:hAnsi="Calibri" w:cs="Arial"/>
              </w:rPr>
            </w:pPr>
            <w:r w:rsidRPr="005D7A28">
              <w:rPr>
                <w:rFonts w:ascii="Calibri" w:hAnsi="Calibri" w:cs="Arial"/>
              </w:rPr>
              <w:t>Planning and Managing Resources</w:t>
            </w:r>
          </w:p>
        </w:tc>
        <w:tc>
          <w:tcPr>
            <w:tcW w:w="5270" w:type="dxa"/>
            <w:vAlign w:val="center"/>
          </w:tcPr>
          <w:p w:rsidR="00DE696E" w:rsidRDefault="00DE696E" w:rsidP="00815AAD">
            <w:pPr>
              <w:contextualSpacing/>
              <w:rPr>
                <w:rFonts w:ascii="Calibri" w:hAnsi="Calibri" w:cs="Arial"/>
                <w:color w:val="000000"/>
              </w:rPr>
            </w:pPr>
          </w:p>
          <w:p w:rsidR="00603E81" w:rsidRDefault="00AB02FE" w:rsidP="00815AAD">
            <w:pPr>
              <w:contextualSpacing/>
              <w:rPr>
                <w:rFonts w:ascii="Calibri" w:hAnsi="Calibri" w:cs="Arial"/>
                <w:color w:val="000000"/>
              </w:rPr>
            </w:pPr>
            <w:r w:rsidRPr="00AB02FE">
              <w:rPr>
                <w:rFonts w:ascii="Calibri" w:hAnsi="Calibri" w:cs="Arial"/>
                <w:color w:val="000000"/>
              </w:rPr>
              <w:t>Plans, prioritises and organises work to achieve  objectives on time</w:t>
            </w:r>
          </w:p>
          <w:p w:rsidR="00603E81" w:rsidRPr="00A2502C" w:rsidRDefault="00603E81" w:rsidP="00815AAD">
            <w:pPr>
              <w:contextualSpacing/>
              <w:rPr>
                <w:rFonts w:ascii="Calibri" w:hAnsi="Calibri" w:cs="Arial"/>
                <w:color w:val="000000"/>
              </w:rPr>
            </w:pPr>
          </w:p>
        </w:tc>
      </w:tr>
      <w:tr w:rsidR="00DE696E" w:rsidRPr="005D7A28" w:rsidTr="00AB02FE">
        <w:tc>
          <w:tcPr>
            <w:tcW w:w="3746" w:type="dxa"/>
            <w:vAlign w:val="center"/>
          </w:tcPr>
          <w:p w:rsidR="00DE696E" w:rsidRPr="005D7A28" w:rsidRDefault="00DE696E" w:rsidP="007128A1">
            <w:pPr>
              <w:rPr>
                <w:rFonts w:ascii="Calibri" w:hAnsi="Calibri" w:cs="Arial"/>
              </w:rPr>
            </w:pPr>
            <w:r w:rsidRPr="005D7A28">
              <w:rPr>
                <w:rFonts w:ascii="Calibri" w:hAnsi="Calibri" w:cs="Arial"/>
              </w:rPr>
              <w:t>Teamwork</w:t>
            </w:r>
          </w:p>
        </w:tc>
        <w:tc>
          <w:tcPr>
            <w:tcW w:w="5270" w:type="dxa"/>
            <w:vAlign w:val="center"/>
          </w:tcPr>
          <w:p w:rsidR="00DE696E" w:rsidRDefault="00DE696E" w:rsidP="007128A1">
            <w:pPr>
              <w:rPr>
                <w:rFonts w:ascii="Calibri" w:hAnsi="Calibri" w:cs="Arial"/>
                <w:color w:val="000000"/>
              </w:rPr>
            </w:pPr>
          </w:p>
          <w:p w:rsidR="00603E81" w:rsidRDefault="00AB02FE" w:rsidP="007128A1">
            <w:pPr>
              <w:rPr>
                <w:rFonts w:ascii="Calibri" w:hAnsi="Calibri" w:cs="Arial"/>
                <w:color w:val="000000"/>
              </w:rPr>
            </w:pPr>
            <w:r w:rsidRPr="00AB02FE">
              <w:rPr>
                <w:rFonts w:ascii="Calibri" w:hAnsi="Calibri" w:cs="Arial"/>
                <w:color w:val="000000"/>
              </w:rPr>
              <w:t>Works collaboratively in a team and where appropriate across or with different professional groups.</w:t>
            </w:r>
          </w:p>
          <w:p w:rsidR="00603E81" w:rsidRPr="00A2502C" w:rsidRDefault="00603E81" w:rsidP="007128A1">
            <w:pPr>
              <w:rPr>
                <w:rFonts w:ascii="Calibri" w:hAnsi="Calibri" w:cs="Arial"/>
                <w:color w:val="000000"/>
              </w:rPr>
            </w:pPr>
          </w:p>
        </w:tc>
      </w:tr>
      <w:tr w:rsidR="00DE696E" w:rsidRPr="005D7A28" w:rsidTr="00AB02FE">
        <w:tc>
          <w:tcPr>
            <w:tcW w:w="3746" w:type="dxa"/>
            <w:vAlign w:val="center"/>
          </w:tcPr>
          <w:p w:rsidR="00DE696E" w:rsidRPr="005D7A28" w:rsidRDefault="00DE696E" w:rsidP="001F575A">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270" w:type="dxa"/>
            <w:vAlign w:val="center"/>
          </w:tcPr>
          <w:p w:rsidR="00DE696E" w:rsidRPr="005D7A28" w:rsidRDefault="00AB02FE" w:rsidP="001F575A">
            <w:pPr>
              <w:spacing w:before="120" w:after="120"/>
              <w:rPr>
                <w:rFonts w:ascii="Calibri" w:hAnsi="Calibri" w:cs="Arial"/>
                <w:color w:val="000000"/>
              </w:rPr>
            </w:pPr>
            <w:r w:rsidRPr="00AB02FE">
              <w:rPr>
                <w:rFonts w:ascii="Calibri" w:hAnsi="Calibri" w:cs="Arial"/>
                <w:color w:val="000000"/>
              </w:rPr>
              <w:t>Uses initiative or creativity to resolve problems</w:t>
            </w:r>
          </w:p>
        </w:tc>
      </w:tr>
    </w:tbl>
    <w:p w:rsidR="00603E81" w:rsidRDefault="00603E81" w:rsidP="00DE696E">
      <w:pPr>
        <w:spacing w:before="120"/>
        <w:rPr>
          <w:rFonts w:ascii="Calibri" w:hAnsi="Calibri" w:cs="Arial"/>
          <w:bCs/>
        </w:rPr>
      </w:pPr>
    </w:p>
    <w:p w:rsidR="001C6D22" w:rsidRDefault="00DE696E" w:rsidP="00DE696E">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rsidR="00DE696E" w:rsidRPr="00FC2F78" w:rsidRDefault="00DE696E" w:rsidP="00DE696E">
      <w:pPr>
        <w:spacing w:before="120"/>
        <w:rPr>
          <w:rFonts w:ascii="Calibri" w:hAnsi="Calibri" w:cs="Arial"/>
        </w:rPr>
      </w:pPr>
      <w:r w:rsidRPr="00FC2F78">
        <w:rPr>
          <w:rFonts w:ascii="Calibri" w:hAnsi="Calibri" w:cs="Arial"/>
        </w:rPr>
        <w:t xml:space="preserve">Last updated: </w:t>
      </w:r>
      <w:r w:rsidR="00AB02FE">
        <w:rPr>
          <w:rFonts w:ascii="Calibri" w:hAnsi="Calibri" w:cs="Arial"/>
        </w:rPr>
        <w:t>21</w:t>
      </w:r>
      <w:r w:rsidR="00AB02FE" w:rsidRPr="00AB02FE">
        <w:rPr>
          <w:rFonts w:ascii="Calibri" w:hAnsi="Calibri" w:cs="Arial"/>
          <w:vertAlign w:val="superscript"/>
        </w:rPr>
        <w:t>st</w:t>
      </w:r>
      <w:r w:rsidR="00AB02FE">
        <w:rPr>
          <w:rFonts w:ascii="Calibri" w:hAnsi="Calibri" w:cs="Arial"/>
        </w:rPr>
        <w:t xml:space="preserve"> August 2018</w:t>
      </w:r>
    </w:p>
    <w:p w:rsidR="004333A8" w:rsidRPr="00C007C8" w:rsidRDefault="004333A8" w:rsidP="00C007C8"/>
    <w:p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ABB" w:rsidRDefault="00B06ABB">
      <w:r>
        <w:separator/>
      </w:r>
    </w:p>
  </w:endnote>
  <w:endnote w:type="continuationSeparator" w:id="0">
    <w:p w:rsidR="00B06ABB" w:rsidRDefault="00B0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ABB" w:rsidRDefault="00B06ABB">
      <w:r>
        <w:separator/>
      </w:r>
    </w:p>
  </w:footnote>
  <w:footnote w:type="continuationSeparator" w:id="0">
    <w:p w:rsidR="00B06ABB" w:rsidRDefault="00B06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3F4A68"/>
    <w:multiLevelType w:val="hybridMultilevel"/>
    <w:tmpl w:val="774C19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BBC326A"/>
    <w:multiLevelType w:val="hybridMultilevel"/>
    <w:tmpl w:val="2F9A854C"/>
    <w:lvl w:ilvl="0" w:tplc="08090001">
      <w:start w:val="1"/>
      <w:numFmt w:val="bullet"/>
      <w:lvlText w:val=""/>
      <w:lvlJc w:val="left"/>
      <w:pPr>
        <w:ind w:left="357" w:hanging="360"/>
      </w:pPr>
      <w:rPr>
        <w:rFonts w:ascii="Symbol" w:hAnsi="Symbol" w:hint="default"/>
      </w:rPr>
    </w:lvl>
    <w:lvl w:ilvl="1" w:tplc="08090003">
      <w:start w:val="1"/>
      <w:numFmt w:val="bullet"/>
      <w:lvlText w:val="o"/>
      <w:lvlJc w:val="left"/>
      <w:pPr>
        <w:ind w:left="1077" w:hanging="360"/>
      </w:pPr>
      <w:rPr>
        <w:rFonts w:ascii="Courier New" w:hAnsi="Courier New" w:cs="Courier New" w:hint="default"/>
      </w:rPr>
    </w:lvl>
    <w:lvl w:ilvl="2" w:tplc="08090005">
      <w:start w:val="1"/>
      <w:numFmt w:val="bullet"/>
      <w:lvlText w:val=""/>
      <w:lvlJc w:val="left"/>
      <w:pPr>
        <w:ind w:left="1797" w:hanging="360"/>
      </w:pPr>
      <w:rPr>
        <w:rFonts w:ascii="Wingdings" w:hAnsi="Wingdings" w:hint="default"/>
      </w:rPr>
    </w:lvl>
    <w:lvl w:ilvl="3" w:tplc="2670DB78">
      <w:numFmt w:val="bullet"/>
      <w:lvlText w:val="-"/>
      <w:lvlJc w:val="left"/>
      <w:pPr>
        <w:ind w:left="2517" w:hanging="360"/>
      </w:pPr>
      <w:rPr>
        <w:rFonts w:ascii="Arial" w:eastAsia="Times New Roman" w:hAnsi="Arial" w:cs="Arial" w:hint="default"/>
        <w:color w:val="000000"/>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27"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725E1B"/>
    <w:multiLevelType w:val="hybridMultilevel"/>
    <w:tmpl w:val="E9388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C536AD0"/>
    <w:multiLevelType w:val="hybridMultilevel"/>
    <w:tmpl w:val="FBF0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8"/>
  </w:num>
  <w:num w:numId="3">
    <w:abstractNumId w:val="8"/>
  </w:num>
  <w:num w:numId="4">
    <w:abstractNumId w:val="28"/>
  </w:num>
  <w:num w:numId="5">
    <w:abstractNumId w:val="22"/>
  </w:num>
  <w:num w:numId="6">
    <w:abstractNumId w:val="41"/>
  </w:num>
  <w:num w:numId="7">
    <w:abstractNumId w:val="25"/>
  </w:num>
  <w:num w:numId="8">
    <w:abstractNumId w:val="21"/>
  </w:num>
  <w:num w:numId="9">
    <w:abstractNumId w:val="39"/>
  </w:num>
  <w:num w:numId="10">
    <w:abstractNumId w:val="44"/>
  </w:num>
  <w:num w:numId="11">
    <w:abstractNumId w:val="27"/>
  </w:num>
  <w:num w:numId="12">
    <w:abstractNumId w:val="32"/>
  </w:num>
  <w:num w:numId="13">
    <w:abstractNumId w:val="15"/>
  </w:num>
  <w:num w:numId="14">
    <w:abstractNumId w:val="38"/>
  </w:num>
  <w:num w:numId="15">
    <w:abstractNumId w:val="37"/>
  </w:num>
  <w:num w:numId="16">
    <w:abstractNumId w:val="3"/>
  </w:num>
  <w:num w:numId="17">
    <w:abstractNumId w:val="6"/>
  </w:num>
  <w:num w:numId="18">
    <w:abstractNumId w:val="45"/>
  </w:num>
  <w:num w:numId="19">
    <w:abstractNumId w:val="16"/>
  </w:num>
  <w:num w:numId="20">
    <w:abstractNumId w:val="23"/>
  </w:num>
  <w:num w:numId="21">
    <w:abstractNumId w:val="11"/>
  </w:num>
  <w:num w:numId="22">
    <w:abstractNumId w:val="40"/>
  </w:num>
  <w:num w:numId="23">
    <w:abstractNumId w:val="18"/>
  </w:num>
  <w:num w:numId="24">
    <w:abstractNumId w:val="42"/>
  </w:num>
  <w:num w:numId="25">
    <w:abstractNumId w:val="35"/>
  </w:num>
  <w:num w:numId="26">
    <w:abstractNumId w:val="12"/>
  </w:num>
  <w:num w:numId="27">
    <w:abstractNumId w:val="46"/>
  </w:num>
  <w:num w:numId="28">
    <w:abstractNumId w:val="47"/>
  </w:num>
  <w:num w:numId="29">
    <w:abstractNumId w:val="30"/>
  </w:num>
  <w:num w:numId="30">
    <w:abstractNumId w:val="19"/>
  </w:num>
  <w:num w:numId="31">
    <w:abstractNumId w:val="10"/>
  </w:num>
  <w:num w:numId="32">
    <w:abstractNumId w:val="0"/>
  </w:num>
  <w:num w:numId="33">
    <w:abstractNumId w:val="24"/>
  </w:num>
  <w:num w:numId="34">
    <w:abstractNumId w:val="4"/>
  </w:num>
  <w:num w:numId="35">
    <w:abstractNumId w:val="34"/>
  </w:num>
  <w:num w:numId="36">
    <w:abstractNumId w:val="9"/>
  </w:num>
  <w:num w:numId="37">
    <w:abstractNumId w:val="14"/>
  </w:num>
  <w:num w:numId="38">
    <w:abstractNumId w:val="13"/>
  </w:num>
  <w:num w:numId="39">
    <w:abstractNumId w:val="5"/>
  </w:num>
  <w:num w:numId="40">
    <w:abstractNumId w:val="36"/>
  </w:num>
  <w:num w:numId="41">
    <w:abstractNumId w:val="7"/>
  </w:num>
  <w:num w:numId="42">
    <w:abstractNumId w:val="29"/>
  </w:num>
  <w:num w:numId="43">
    <w:abstractNumId w:val="2"/>
  </w:num>
  <w:num w:numId="44">
    <w:abstractNumId w:val="20"/>
  </w:num>
  <w:num w:numId="45">
    <w:abstractNumId w:val="31"/>
  </w:num>
  <w:num w:numId="46">
    <w:abstractNumId w:val="17"/>
  </w:num>
  <w:num w:numId="47">
    <w:abstractNumId w:val="26"/>
  </w:num>
  <w:num w:numId="48">
    <w:abstractNumId w:val="43"/>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F490C"/>
    <w:rsid w:val="00202643"/>
    <w:rsid w:val="00262E2D"/>
    <w:rsid w:val="00265D84"/>
    <w:rsid w:val="00267073"/>
    <w:rsid w:val="00273FAC"/>
    <w:rsid w:val="0027651F"/>
    <w:rsid w:val="00284B93"/>
    <w:rsid w:val="00286686"/>
    <w:rsid w:val="00296584"/>
    <w:rsid w:val="002B7662"/>
    <w:rsid w:val="002C2DE7"/>
    <w:rsid w:val="00317BFE"/>
    <w:rsid w:val="00331AB1"/>
    <w:rsid w:val="00357B10"/>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D3601"/>
    <w:rsid w:val="004E3268"/>
    <w:rsid w:val="004F50C7"/>
    <w:rsid w:val="00504901"/>
    <w:rsid w:val="0051790B"/>
    <w:rsid w:val="00520FE9"/>
    <w:rsid w:val="00525DF6"/>
    <w:rsid w:val="0053123A"/>
    <w:rsid w:val="00556B30"/>
    <w:rsid w:val="00560860"/>
    <w:rsid w:val="005608FB"/>
    <w:rsid w:val="00570A89"/>
    <w:rsid w:val="00570BB1"/>
    <w:rsid w:val="00576313"/>
    <w:rsid w:val="00594C01"/>
    <w:rsid w:val="005F772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8100BB"/>
    <w:rsid w:val="00815AAD"/>
    <w:rsid w:val="008217DE"/>
    <w:rsid w:val="00844A9D"/>
    <w:rsid w:val="0086380C"/>
    <w:rsid w:val="00877BBA"/>
    <w:rsid w:val="008D390B"/>
    <w:rsid w:val="008E430C"/>
    <w:rsid w:val="008F6039"/>
    <w:rsid w:val="00934B07"/>
    <w:rsid w:val="009438D6"/>
    <w:rsid w:val="009557D4"/>
    <w:rsid w:val="009741B1"/>
    <w:rsid w:val="0097624E"/>
    <w:rsid w:val="00992ED5"/>
    <w:rsid w:val="009A741C"/>
    <w:rsid w:val="00A0586F"/>
    <w:rsid w:val="00A15DD8"/>
    <w:rsid w:val="00A2502C"/>
    <w:rsid w:val="00A514C8"/>
    <w:rsid w:val="00A6413C"/>
    <w:rsid w:val="00AA70BE"/>
    <w:rsid w:val="00AA7EA5"/>
    <w:rsid w:val="00AB02FE"/>
    <w:rsid w:val="00AB562A"/>
    <w:rsid w:val="00AD5C3D"/>
    <w:rsid w:val="00AF0EA0"/>
    <w:rsid w:val="00AF6C2A"/>
    <w:rsid w:val="00B06ABB"/>
    <w:rsid w:val="00B26E52"/>
    <w:rsid w:val="00B4142B"/>
    <w:rsid w:val="00B67FB4"/>
    <w:rsid w:val="00BC730C"/>
    <w:rsid w:val="00BE115C"/>
    <w:rsid w:val="00BF08D5"/>
    <w:rsid w:val="00C007C8"/>
    <w:rsid w:val="00C36210"/>
    <w:rsid w:val="00C41ED9"/>
    <w:rsid w:val="00C54E60"/>
    <w:rsid w:val="00C74767"/>
    <w:rsid w:val="00CD1530"/>
    <w:rsid w:val="00CE2F41"/>
    <w:rsid w:val="00D1149C"/>
    <w:rsid w:val="00D21CDF"/>
    <w:rsid w:val="00D26B1F"/>
    <w:rsid w:val="00D27FC8"/>
    <w:rsid w:val="00D6418D"/>
    <w:rsid w:val="00D87564"/>
    <w:rsid w:val="00DE696E"/>
    <w:rsid w:val="00DF76C6"/>
    <w:rsid w:val="00E00A83"/>
    <w:rsid w:val="00E10084"/>
    <w:rsid w:val="00E46D94"/>
    <w:rsid w:val="00E62E0A"/>
    <w:rsid w:val="00EB1A74"/>
    <w:rsid w:val="00EC1698"/>
    <w:rsid w:val="00F020B4"/>
    <w:rsid w:val="00F332A8"/>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4F460D"/>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06932">
      <w:bodyDiv w:val="1"/>
      <w:marLeft w:val="0"/>
      <w:marRight w:val="0"/>
      <w:marTop w:val="0"/>
      <w:marBottom w:val="0"/>
      <w:divBdr>
        <w:top w:val="none" w:sz="0" w:space="0" w:color="auto"/>
        <w:left w:val="none" w:sz="0" w:space="0" w:color="auto"/>
        <w:bottom w:val="none" w:sz="0" w:space="0" w:color="auto"/>
        <w:right w:val="none" w:sz="0" w:space="0" w:color="auto"/>
      </w:divBdr>
    </w:div>
    <w:div w:id="733088808">
      <w:bodyDiv w:val="1"/>
      <w:marLeft w:val="0"/>
      <w:marRight w:val="0"/>
      <w:marTop w:val="0"/>
      <w:marBottom w:val="0"/>
      <w:divBdr>
        <w:top w:val="none" w:sz="0" w:space="0" w:color="auto"/>
        <w:left w:val="none" w:sz="0" w:space="0" w:color="auto"/>
        <w:bottom w:val="none" w:sz="0" w:space="0" w:color="auto"/>
        <w:right w:val="none" w:sz="0" w:space="0" w:color="auto"/>
      </w:divBdr>
    </w:div>
    <w:div w:id="807747375">
      <w:bodyDiv w:val="1"/>
      <w:marLeft w:val="0"/>
      <w:marRight w:val="0"/>
      <w:marTop w:val="0"/>
      <w:marBottom w:val="0"/>
      <w:divBdr>
        <w:top w:val="none" w:sz="0" w:space="0" w:color="auto"/>
        <w:left w:val="none" w:sz="0" w:space="0" w:color="auto"/>
        <w:bottom w:val="none" w:sz="0" w:space="0" w:color="auto"/>
        <w:right w:val="none" w:sz="0" w:space="0" w:color="auto"/>
      </w:divBdr>
    </w:div>
    <w:div w:id="840124424">
      <w:bodyDiv w:val="1"/>
      <w:marLeft w:val="0"/>
      <w:marRight w:val="0"/>
      <w:marTop w:val="0"/>
      <w:marBottom w:val="0"/>
      <w:divBdr>
        <w:top w:val="none" w:sz="0" w:space="0" w:color="auto"/>
        <w:left w:val="none" w:sz="0" w:space="0" w:color="auto"/>
        <w:bottom w:val="none" w:sz="0" w:space="0" w:color="auto"/>
        <w:right w:val="none" w:sz="0" w:space="0" w:color="auto"/>
      </w:divBdr>
    </w:div>
    <w:div w:id="1225799673">
      <w:bodyDiv w:val="1"/>
      <w:marLeft w:val="0"/>
      <w:marRight w:val="0"/>
      <w:marTop w:val="0"/>
      <w:marBottom w:val="0"/>
      <w:divBdr>
        <w:top w:val="none" w:sz="0" w:space="0" w:color="auto"/>
        <w:left w:val="none" w:sz="0" w:space="0" w:color="auto"/>
        <w:bottom w:val="none" w:sz="0" w:space="0" w:color="auto"/>
        <w:right w:val="none" w:sz="0" w:space="0" w:color="auto"/>
      </w:divBdr>
    </w:div>
    <w:div w:id="1399936759">
      <w:bodyDiv w:val="1"/>
      <w:marLeft w:val="0"/>
      <w:marRight w:val="0"/>
      <w:marTop w:val="0"/>
      <w:marBottom w:val="0"/>
      <w:divBdr>
        <w:top w:val="none" w:sz="0" w:space="0" w:color="auto"/>
        <w:left w:val="none" w:sz="0" w:space="0" w:color="auto"/>
        <w:bottom w:val="none" w:sz="0" w:space="0" w:color="auto"/>
        <w:right w:val="none" w:sz="0" w:space="0" w:color="auto"/>
      </w:divBdr>
    </w:div>
    <w:div w:id="16419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9FEC5-491E-4743-8B98-B44FBE07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Caroline Kelly</cp:lastModifiedBy>
  <cp:revision>7</cp:revision>
  <cp:lastPrinted>2018-02-22T15:49:00Z</cp:lastPrinted>
  <dcterms:created xsi:type="dcterms:W3CDTF">2018-08-21T15:46:00Z</dcterms:created>
  <dcterms:modified xsi:type="dcterms:W3CDTF">2018-09-07T08:27:00Z</dcterms:modified>
</cp:coreProperties>
</file>