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D65C8A">
              <w:rPr>
                <w:rFonts w:cs="Arial"/>
                <w:szCs w:val="22"/>
              </w:rPr>
              <w:t>Client Configuration Specialist (Windows)</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D65C8A">
              <w:rPr>
                <w:rFonts w:cs="Arial"/>
                <w:szCs w:val="22"/>
              </w:rPr>
              <w:t>Application Configuration Manager</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D65C8A">
              <w:rPr>
                <w:rFonts w:cs="Arial"/>
                <w:szCs w:val="22"/>
              </w:rPr>
              <w:t>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D65C8A">
              <w:rPr>
                <w:rFonts w:cs="Arial"/>
                <w:szCs w:val="22"/>
              </w:rPr>
              <w:t>£34,326 to £42,155 per annum</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D65C8A">
              <w:rPr>
                <w:rFonts w:cs="Arial"/>
                <w:szCs w:val="22"/>
              </w:rPr>
              <w:t>4</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D65C8A">
              <w:rPr>
                <w:rFonts w:cs="Arial"/>
                <w:szCs w:val="22"/>
              </w:rPr>
              <w:t>IT Service – Client Configuration Team</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D65C8A">
              <w:rPr>
                <w:rFonts w:cs="Arial"/>
                <w:szCs w:val="22"/>
              </w:rPr>
              <w:t>Elephant and Castle</w:t>
            </w:r>
          </w:p>
        </w:tc>
      </w:tr>
      <w:tr w:rsidR="00594C01" w:rsidRPr="00C007C8" w:rsidTr="000C0840">
        <w:tc>
          <w:tcPr>
            <w:tcW w:w="9214" w:type="dxa"/>
            <w:gridSpan w:val="3"/>
          </w:tcPr>
          <w:p w:rsidR="00594C01" w:rsidRPr="003D3432" w:rsidRDefault="003D3432" w:rsidP="000B4B43">
            <w:pPr>
              <w:spacing w:before="120" w:after="120"/>
              <w:rPr>
                <w:b/>
              </w:rPr>
            </w:pPr>
            <w:r>
              <w:rPr>
                <w:b/>
              </w:rPr>
              <w:t>What is the purpose of the role?</w:t>
            </w:r>
          </w:p>
          <w:p w:rsidR="001C6D22" w:rsidRPr="003D3432" w:rsidRDefault="00D65C8A" w:rsidP="00D65C8A">
            <w:pPr>
              <w:pStyle w:val="ListBullet"/>
              <w:numPr>
                <w:ilvl w:val="0"/>
                <w:numId w:val="0"/>
              </w:numPr>
            </w:pPr>
            <w:r w:rsidRPr="00D65C8A">
              <w:t>Provide specialist management of Microsoft desktop technologies and integration to Microsoft and other back-end services for the maintenance, development, security and support of delivered services as a member of the Strategy and Architecture division within IT Services. Change and Release management of operating systems, applications and policies to the Windows environment. Participate in internal and external networks to ensure the successful integration and delivery of IT Services across the University. Maintain an awareness of developing applications and technologies, evaluating the impact on existing systems architecture, and the development of areas of specialisation.</w:t>
            </w:r>
          </w:p>
        </w:tc>
      </w:tr>
      <w:tr w:rsidR="00594C01" w:rsidRPr="00C007C8" w:rsidTr="000C0840">
        <w:tc>
          <w:tcPr>
            <w:tcW w:w="9214" w:type="dxa"/>
            <w:gridSpan w:val="3"/>
          </w:tcPr>
          <w:p w:rsidR="00594C01" w:rsidRDefault="00594C01" w:rsidP="000B4B43">
            <w:pPr>
              <w:spacing w:before="120" w:after="120"/>
              <w:rPr>
                <w:b/>
              </w:rPr>
            </w:pPr>
            <w:r w:rsidRPr="003D3432">
              <w:rPr>
                <w:b/>
              </w:rPr>
              <w:t>Duties and Responsibilities</w:t>
            </w:r>
          </w:p>
          <w:p w:rsidR="00D65C8A" w:rsidRPr="00D65C8A" w:rsidRDefault="00D65C8A" w:rsidP="00D65C8A">
            <w:pPr>
              <w:numPr>
                <w:ilvl w:val="0"/>
                <w:numId w:val="46"/>
              </w:numPr>
              <w:spacing w:after="120"/>
            </w:pPr>
            <w:bookmarkStart w:id="0" w:name="20190405 Client Configuration Specialist"/>
            <w:bookmarkEnd w:id="0"/>
            <w:r w:rsidRPr="00D65C8A">
              <w:t>Be responsible for the development, maint</w:t>
            </w:r>
            <w:bookmarkStart w:id="1" w:name="JOB DESCRIPTION"/>
            <w:bookmarkEnd w:id="1"/>
            <w:r w:rsidRPr="00D65C8A">
              <w:t>enance and support of Windows operating systems and applications.</w:t>
            </w:r>
          </w:p>
          <w:p w:rsidR="00D65C8A" w:rsidRPr="00D65C8A" w:rsidRDefault="00D65C8A" w:rsidP="00D65C8A">
            <w:pPr>
              <w:numPr>
                <w:ilvl w:val="0"/>
                <w:numId w:val="46"/>
              </w:numPr>
              <w:spacing w:after="120"/>
            </w:pPr>
            <w:r w:rsidRPr="00D65C8A">
              <w:t>Be responsible for packaging and release of changes to Windows desktop environments.</w:t>
            </w:r>
          </w:p>
          <w:p w:rsidR="00D65C8A" w:rsidRPr="00D65C8A" w:rsidRDefault="00D65C8A" w:rsidP="00D65C8A">
            <w:pPr>
              <w:numPr>
                <w:ilvl w:val="0"/>
                <w:numId w:val="46"/>
              </w:numPr>
              <w:spacing w:after="120"/>
            </w:pPr>
            <w:r w:rsidRPr="00D65C8A">
              <w:t>Be responsible for the development, maintenance and support of policies to appropriately configure and secure the Windows desktop environments.</w:t>
            </w:r>
          </w:p>
          <w:p w:rsidR="00D65C8A" w:rsidRPr="00D65C8A" w:rsidRDefault="00D65C8A" w:rsidP="00D65C8A">
            <w:pPr>
              <w:numPr>
                <w:ilvl w:val="0"/>
                <w:numId w:val="46"/>
              </w:numPr>
              <w:spacing w:after="120"/>
            </w:pPr>
            <w:r w:rsidRPr="00D65C8A">
              <w:t>Be responsible for development, maintenance and support of any back-end services that integrate the Windows desktop environments into the University IT infrastructure.</w:t>
            </w:r>
          </w:p>
          <w:p w:rsidR="00D65C8A" w:rsidRPr="00D65C8A" w:rsidRDefault="00D65C8A" w:rsidP="00D65C8A">
            <w:pPr>
              <w:numPr>
                <w:ilvl w:val="0"/>
                <w:numId w:val="46"/>
              </w:numPr>
              <w:spacing w:after="120"/>
            </w:pPr>
            <w:r w:rsidRPr="00D65C8A">
              <w:t>Provide support, guidance and advice to the IT Services community ensuring the successful deployment of corporate applications to the user community.</w:t>
            </w:r>
          </w:p>
          <w:p w:rsidR="00D65C8A" w:rsidRPr="00D65C8A" w:rsidRDefault="00D65C8A" w:rsidP="00D65C8A">
            <w:pPr>
              <w:numPr>
                <w:ilvl w:val="0"/>
                <w:numId w:val="46"/>
              </w:numPr>
              <w:spacing w:after="120"/>
            </w:pPr>
            <w:r w:rsidRPr="00D65C8A">
              <w:t>Asses, analyse and develop fault corrections, site-specific modifications and workarounds, updating system documentation accurately and consistently.</w:t>
            </w:r>
          </w:p>
          <w:p w:rsidR="00D65C8A" w:rsidRPr="00D65C8A" w:rsidRDefault="00D65C8A" w:rsidP="00D65C8A">
            <w:pPr>
              <w:numPr>
                <w:ilvl w:val="0"/>
                <w:numId w:val="46"/>
              </w:numPr>
              <w:spacing w:after="120"/>
            </w:pPr>
            <w:r w:rsidRPr="00D65C8A">
              <w:t>Develop maintenance schedules and procedures, using appropriate tools and techniques to pro-actively monitor service status, investigate problems, collect performance statistics and create reports relating to the Windows desktop environments.</w:t>
            </w:r>
          </w:p>
          <w:p w:rsidR="00D65C8A" w:rsidRPr="00D65C8A" w:rsidRDefault="00D65C8A" w:rsidP="00D65C8A">
            <w:pPr>
              <w:numPr>
                <w:ilvl w:val="0"/>
                <w:numId w:val="46"/>
              </w:numPr>
              <w:spacing w:after="120"/>
            </w:pPr>
            <w:r w:rsidRPr="00D65C8A">
              <w:t>Manipulate data or define enhancements in close collaboration with systems developers and third party suppliers, initiating action where necessary to resolve any shortfalls and maximise functionality according to agreed procedures.</w:t>
            </w:r>
          </w:p>
          <w:p w:rsidR="00D65C8A" w:rsidRPr="00D65C8A" w:rsidRDefault="00D65C8A" w:rsidP="00D65C8A">
            <w:pPr>
              <w:numPr>
                <w:ilvl w:val="0"/>
                <w:numId w:val="46"/>
              </w:numPr>
              <w:spacing w:after="120"/>
            </w:pPr>
            <w:r w:rsidRPr="00D65C8A">
              <w:t>Provide appropriate status and other reports to team members, managers and users.</w:t>
            </w:r>
          </w:p>
          <w:p w:rsidR="00D65C8A" w:rsidRPr="00D65C8A" w:rsidRDefault="00D65C8A" w:rsidP="00D65C8A">
            <w:pPr>
              <w:numPr>
                <w:ilvl w:val="0"/>
                <w:numId w:val="46"/>
              </w:numPr>
              <w:spacing w:after="120"/>
            </w:pPr>
            <w:r w:rsidRPr="00D65C8A">
              <w:t>Develop, maintain and document detailed knowledge of management and process improvement, updating configuration management records where necessary. Apply tools, techniques and processes for administering configuration items and related information.</w:t>
            </w:r>
          </w:p>
          <w:p w:rsidR="00D65C8A" w:rsidRPr="00D65C8A" w:rsidRDefault="00D65C8A" w:rsidP="00D65C8A">
            <w:pPr>
              <w:numPr>
                <w:ilvl w:val="0"/>
                <w:numId w:val="46"/>
              </w:numPr>
              <w:spacing w:after="120"/>
            </w:pPr>
            <w:r w:rsidRPr="00D65C8A">
              <w:t>Prepare and maintain operational documentation for OS and application software, providing advice where necessary on the correct and effective use of application software.</w:t>
            </w:r>
          </w:p>
          <w:p w:rsidR="00D65C8A" w:rsidRPr="00D65C8A" w:rsidRDefault="00D65C8A" w:rsidP="00D65C8A">
            <w:pPr>
              <w:numPr>
                <w:ilvl w:val="0"/>
                <w:numId w:val="46"/>
              </w:numPr>
              <w:spacing w:after="120"/>
            </w:pPr>
            <w:r w:rsidRPr="00D65C8A">
              <w:t>Work closely and collaboratively with other team members, systems and database administrators and those who provide end user support to integrate technologies with appropriate systems and applications across the University.</w:t>
            </w:r>
          </w:p>
          <w:p w:rsidR="00D65C8A" w:rsidRPr="00D65C8A" w:rsidRDefault="00D65C8A" w:rsidP="00D65C8A">
            <w:pPr>
              <w:numPr>
                <w:ilvl w:val="0"/>
                <w:numId w:val="46"/>
              </w:numPr>
              <w:spacing w:after="120"/>
            </w:pPr>
            <w:r w:rsidRPr="00D65C8A">
              <w:t>Contribute to project plans for the implementation of upgrades and developments to systems and services.</w:t>
            </w:r>
          </w:p>
          <w:p w:rsidR="00D65C8A" w:rsidRPr="00D65C8A" w:rsidRDefault="00D65C8A" w:rsidP="00D65C8A">
            <w:pPr>
              <w:numPr>
                <w:ilvl w:val="0"/>
                <w:numId w:val="46"/>
              </w:numPr>
              <w:spacing w:after="120"/>
            </w:pPr>
            <w:r w:rsidRPr="00D65C8A">
              <w:t>Provide specialist technical expertise with the planning, installation, maintenance and de-installation of OS and supported application software.</w:t>
            </w:r>
          </w:p>
          <w:p w:rsidR="00D65C8A" w:rsidRPr="00D65C8A" w:rsidRDefault="00D65C8A" w:rsidP="00D65C8A">
            <w:pPr>
              <w:numPr>
                <w:ilvl w:val="0"/>
                <w:numId w:val="46"/>
              </w:numPr>
              <w:spacing w:after="120"/>
            </w:pPr>
            <w:r w:rsidRPr="00D65C8A">
              <w:t>Provide advice to team members and other IT Services staff with technical issues and infrastructure constraints.</w:t>
            </w:r>
          </w:p>
          <w:p w:rsidR="00D65C8A" w:rsidRPr="00D65C8A" w:rsidRDefault="00D65C8A" w:rsidP="00D65C8A">
            <w:pPr>
              <w:numPr>
                <w:ilvl w:val="0"/>
                <w:numId w:val="46"/>
              </w:numPr>
              <w:spacing w:after="120"/>
            </w:pPr>
            <w:r w:rsidRPr="00D65C8A">
              <w:t>Recommend improvements and contribute to the implementation of agreed changes, architecture and design structures, tools and maintenance routines.</w:t>
            </w:r>
          </w:p>
          <w:p w:rsidR="00D65C8A" w:rsidRPr="00D65C8A" w:rsidRDefault="00D65C8A" w:rsidP="00D65C8A">
            <w:pPr>
              <w:numPr>
                <w:ilvl w:val="0"/>
                <w:numId w:val="46"/>
              </w:numPr>
              <w:spacing w:after="120"/>
            </w:pPr>
            <w:r w:rsidRPr="00D65C8A">
              <w:t>Plan and prioritise own workload to meet service or project requirements and personal objectives.</w:t>
            </w:r>
          </w:p>
          <w:p w:rsidR="00D65C8A" w:rsidRPr="00D65C8A" w:rsidRDefault="00D65C8A" w:rsidP="00D65C8A">
            <w:pPr>
              <w:numPr>
                <w:ilvl w:val="0"/>
                <w:numId w:val="46"/>
              </w:numPr>
              <w:spacing w:after="120"/>
            </w:pPr>
            <w:r w:rsidRPr="00D65C8A">
              <w:t>Investigate and coordinate the resolution of potential and actual service problems identified by the Application Configuration team or escalated through the incident management process.</w:t>
            </w:r>
          </w:p>
          <w:p w:rsidR="007166ED" w:rsidRDefault="00D65C8A" w:rsidP="000B4B43">
            <w:pPr>
              <w:numPr>
                <w:ilvl w:val="0"/>
                <w:numId w:val="46"/>
              </w:numPr>
              <w:spacing w:after="120"/>
            </w:pPr>
            <w:r w:rsidRPr="00D65C8A">
              <w:t>Maintain an awareness of developing technologies and their application to the services provided by Application Configuration.</w:t>
            </w:r>
          </w:p>
          <w:p w:rsidR="002B4CC4" w:rsidRPr="002B4CC4" w:rsidRDefault="002B4CC4" w:rsidP="002B4CC4">
            <w:pPr>
              <w:spacing w:after="120"/>
              <w:ind w:left="612"/>
            </w:pPr>
            <w:bookmarkStart w:id="2" w:name="_GoBack"/>
            <w:bookmarkEnd w:id="2"/>
          </w:p>
          <w:p w:rsidR="00DE696E" w:rsidRPr="003D3432" w:rsidRDefault="00DE696E" w:rsidP="000B4B43">
            <w:pPr>
              <w:spacing w:after="120"/>
              <w:rPr>
                <w:b/>
              </w:rPr>
            </w:pPr>
            <w:r w:rsidRPr="003D3432">
              <w:rPr>
                <w:b/>
              </w:rPr>
              <w:t xml:space="preserve">General </w:t>
            </w:r>
          </w:p>
          <w:p w:rsidR="00DE696E" w:rsidRPr="003D3432" w:rsidRDefault="00DE696E" w:rsidP="001C6D22">
            <w:pPr>
              <w:pStyle w:val="ListParagraph"/>
              <w:numPr>
                <w:ilvl w:val="0"/>
                <w:numId w:val="43"/>
              </w:numPr>
            </w:pPr>
            <w:r w:rsidRPr="003D3432">
              <w:t xml:space="preserve">Assume other reasonable duties consistent with your role, as determined </w:t>
            </w:r>
            <w:r w:rsidR="003D3432">
              <w:t>xxx</w:t>
            </w:r>
            <w:r w:rsidRPr="003D3432">
              <w:t>, which may be assigned to you anywhere within the University.</w:t>
            </w:r>
          </w:p>
          <w:p w:rsidR="00DE696E" w:rsidRPr="003D3432" w:rsidRDefault="00DE696E" w:rsidP="001C6D22">
            <w:pPr>
              <w:pStyle w:val="ListParagraph"/>
              <w:numPr>
                <w:ilvl w:val="0"/>
                <w:numId w:val="43"/>
              </w:numPr>
            </w:pPr>
            <w:r w:rsidRPr="003D3432">
              <w:t>Undertake health and safety duties and responsibilities appropriate to the role.</w:t>
            </w:r>
          </w:p>
          <w:p w:rsidR="00DE696E" w:rsidRPr="003D3432" w:rsidRDefault="00DE696E" w:rsidP="001C6D22">
            <w:pPr>
              <w:pStyle w:val="ListParagraph"/>
              <w:numPr>
                <w:ilvl w:val="0"/>
                <w:numId w:val="43"/>
              </w:numPr>
            </w:pPr>
            <w:r w:rsidRPr="003D3432">
              <w:t>Work in accordance with the University’s Equal Opportunities Policy and the Staff Charter, promoting equality and diversity in your work.</w:t>
            </w:r>
          </w:p>
          <w:p w:rsidR="00DE696E" w:rsidRPr="003D3432" w:rsidRDefault="00DE696E" w:rsidP="001C6D22">
            <w:pPr>
              <w:pStyle w:val="ListParagraph"/>
              <w:numPr>
                <w:ilvl w:val="0"/>
                <w:numId w:val="43"/>
              </w:numPr>
            </w:pPr>
            <w:r w:rsidRPr="003D3432">
              <w:t>Undertake continuous personal and professional development, and to support it for any staff you manage through effective use of the University’s Planning, Review and Appraisal scheme and staff development opportunities.</w:t>
            </w:r>
          </w:p>
          <w:p w:rsidR="00DE696E" w:rsidRPr="003D3432" w:rsidRDefault="00DE696E" w:rsidP="001C6D22">
            <w:pPr>
              <w:pStyle w:val="ListParagraph"/>
              <w:numPr>
                <w:ilvl w:val="0"/>
                <w:numId w:val="43"/>
              </w:numPr>
            </w:pPr>
            <w:r w:rsidRPr="003D3432">
              <w:lastRenderedPageBreak/>
              <w:t>Make full use of all information and communication technologies in adherence to data protection policies to meet the requirements of the role and to promote organisational effectiveness.</w:t>
            </w:r>
          </w:p>
          <w:p w:rsidR="00DE696E" w:rsidRDefault="00DE696E" w:rsidP="001C6D22">
            <w:pPr>
              <w:pStyle w:val="ListParagraph"/>
              <w:numPr>
                <w:ilvl w:val="0"/>
                <w:numId w:val="43"/>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rsidR="002B4CC4" w:rsidRPr="002B4CC4" w:rsidRDefault="002B4CC4" w:rsidP="002B4CC4">
            <w:pPr>
              <w:pStyle w:val="Default"/>
              <w:numPr>
                <w:ilvl w:val="0"/>
                <w:numId w:val="43"/>
              </w:numPr>
              <w:rPr>
                <w:rFonts w:asciiTheme="minorHAnsi" w:hAnsiTheme="minorHAnsi" w:cstheme="minorHAnsi"/>
                <w:sz w:val="22"/>
                <w:szCs w:val="22"/>
              </w:rPr>
            </w:pPr>
            <w:r w:rsidRPr="002B4CC4">
              <w:rPr>
                <w:rFonts w:asciiTheme="minorHAnsi" w:hAnsiTheme="minorHAnsi" w:cstheme="minorHAnsi"/>
                <w:sz w:val="22"/>
                <w:szCs w:val="22"/>
              </w:rPr>
              <w:t>To personally contribute towards reducing the university’s impact on the environment and support actions associated with the UAL Sustainability Manifesto (2016 –</w:t>
            </w:r>
            <w:r w:rsidRPr="002B4CC4">
              <w:rPr>
                <w:rFonts w:asciiTheme="minorHAnsi" w:hAnsiTheme="minorHAnsi" w:cstheme="minorHAnsi"/>
                <w:sz w:val="22"/>
                <w:szCs w:val="22"/>
              </w:rPr>
              <w:t xml:space="preserve"> 2022).</w:t>
            </w:r>
          </w:p>
          <w:p w:rsidR="00594C01" w:rsidRPr="003D3432" w:rsidRDefault="00594C01" w:rsidP="00DE696E"/>
        </w:tc>
      </w:tr>
      <w:tr w:rsidR="00594C01" w:rsidRPr="00C007C8" w:rsidTr="00150DEB">
        <w:trPr>
          <w:trHeight w:val="406"/>
        </w:trPr>
        <w:tc>
          <w:tcPr>
            <w:tcW w:w="9214" w:type="dxa"/>
            <w:gridSpan w:val="3"/>
          </w:tcPr>
          <w:p w:rsidR="00D65C8A" w:rsidRDefault="00594C01" w:rsidP="00D65C8A">
            <w:pPr>
              <w:spacing w:before="120" w:after="120"/>
            </w:pPr>
            <w:r w:rsidRPr="003D3432">
              <w:rPr>
                <w:b/>
              </w:rPr>
              <w:lastRenderedPageBreak/>
              <w:t>Key Working Relationships</w:t>
            </w:r>
            <w:r w:rsidR="00D65C8A">
              <w:rPr>
                <w:b/>
              </w:rPr>
              <w:t xml:space="preserve">: </w:t>
            </w:r>
            <w:r w:rsidR="00D65C8A" w:rsidRPr="00D65C8A">
              <w:rPr>
                <w:szCs w:val="22"/>
              </w:rPr>
              <w:t xml:space="preserve">Managers and other staff, and external partners, suppliers </w:t>
            </w:r>
            <w:proofErr w:type="spellStart"/>
            <w:r w:rsidR="00D65C8A" w:rsidRPr="00D65C8A">
              <w:rPr>
                <w:szCs w:val="22"/>
              </w:rPr>
              <w:t>etc</w:t>
            </w:r>
            <w:proofErr w:type="spellEnd"/>
            <w:r w:rsidR="00D65C8A" w:rsidRPr="00D65C8A">
              <w:rPr>
                <w:szCs w:val="22"/>
              </w:rPr>
              <w:t xml:space="preserve">; with whom regular contact is required. </w:t>
            </w:r>
          </w:p>
          <w:p w:rsidR="00D65C8A" w:rsidRDefault="00D65C8A" w:rsidP="00D65C8A">
            <w:pPr>
              <w:pStyle w:val="Default"/>
              <w:rPr>
                <w:sz w:val="20"/>
                <w:szCs w:val="20"/>
              </w:rPr>
            </w:pPr>
            <w:r>
              <w:rPr>
                <w:rFonts w:cs="Times New Roman"/>
                <w:sz w:val="20"/>
                <w:szCs w:val="20"/>
              </w:rPr>
              <w:t xml:space="preserve">• </w:t>
            </w:r>
            <w:r>
              <w:rPr>
                <w:sz w:val="20"/>
                <w:szCs w:val="20"/>
              </w:rPr>
              <w:t xml:space="preserve">Application Configuration Team </w:t>
            </w:r>
          </w:p>
          <w:p w:rsidR="00D65C8A" w:rsidRDefault="00D65C8A" w:rsidP="00D65C8A">
            <w:pPr>
              <w:pStyle w:val="Default"/>
              <w:rPr>
                <w:sz w:val="20"/>
                <w:szCs w:val="20"/>
              </w:rPr>
            </w:pPr>
            <w:r>
              <w:rPr>
                <w:sz w:val="20"/>
                <w:szCs w:val="20"/>
              </w:rPr>
              <w:t xml:space="preserve">• All IT Services staff </w:t>
            </w:r>
          </w:p>
          <w:p w:rsidR="00D65C8A" w:rsidRDefault="00D65C8A" w:rsidP="00D65C8A">
            <w:pPr>
              <w:pStyle w:val="Default"/>
              <w:rPr>
                <w:sz w:val="20"/>
                <w:szCs w:val="20"/>
              </w:rPr>
            </w:pPr>
            <w:r>
              <w:rPr>
                <w:sz w:val="20"/>
                <w:szCs w:val="20"/>
              </w:rPr>
              <w:t xml:space="preserve">• Customers </w:t>
            </w:r>
          </w:p>
          <w:p w:rsidR="00D65C8A" w:rsidRDefault="00D65C8A" w:rsidP="00D65C8A">
            <w:pPr>
              <w:pStyle w:val="Default"/>
              <w:rPr>
                <w:sz w:val="20"/>
                <w:szCs w:val="20"/>
              </w:rPr>
            </w:pPr>
            <w:r>
              <w:rPr>
                <w:sz w:val="20"/>
                <w:szCs w:val="20"/>
              </w:rPr>
              <w:t xml:space="preserve">• Project Teams </w:t>
            </w:r>
          </w:p>
          <w:p w:rsidR="00D65C8A" w:rsidRDefault="00D65C8A" w:rsidP="00D65C8A">
            <w:pPr>
              <w:pStyle w:val="Default"/>
              <w:rPr>
                <w:sz w:val="20"/>
                <w:szCs w:val="20"/>
              </w:rPr>
            </w:pPr>
            <w:r>
              <w:rPr>
                <w:sz w:val="22"/>
                <w:szCs w:val="22"/>
              </w:rPr>
              <w:t xml:space="preserve">• </w:t>
            </w:r>
            <w:r>
              <w:rPr>
                <w:sz w:val="20"/>
                <w:szCs w:val="20"/>
              </w:rPr>
              <w:t xml:space="preserve">Strategic third party suppliers </w:t>
            </w:r>
            <w:proofErr w:type="spellStart"/>
            <w:r>
              <w:rPr>
                <w:sz w:val="20"/>
                <w:szCs w:val="20"/>
              </w:rPr>
              <w:t>eg</w:t>
            </w:r>
            <w:proofErr w:type="spellEnd"/>
            <w:r>
              <w:rPr>
                <w:sz w:val="20"/>
                <w:szCs w:val="20"/>
              </w:rPr>
              <w:t xml:space="preserve">. Microsoft, </w:t>
            </w:r>
            <w:proofErr w:type="spellStart"/>
            <w:r>
              <w:rPr>
                <w:sz w:val="20"/>
                <w:szCs w:val="20"/>
              </w:rPr>
              <w:t>Viglen</w:t>
            </w:r>
            <w:proofErr w:type="spellEnd"/>
            <w:r>
              <w:rPr>
                <w:sz w:val="20"/>
                <w:szCs w:val="20"/>
              </w:rPr>
              <w:t xml:space="preserve"> and Novell </w:t>
            </w:r>
          </w:p>
          <w:p w:rsidR="001C6D22" w:rsidRPr="003D3432" w:rsidRDefault="001C6D22" w:rsidP="00D65C8A"/>
        </w:tc>
      </w:tr>
      <w:tr w:rsidR="00594C01" w:rsidRPr="00C007C8" w:rsidTr="000C0840">
        <w:tc>
          <w:tcPr>
            <w:tcW w:w="9214" w:type="dxa"/>
            <w:gridSpan w:val="3"/>
          </w:tcPr>
          <w:p w:rsidR="00594C01" w:rsidRPr="003D3432" w:rsidRDefault="00594C01" w:rsidP="000B4B43">
            <w:pPr>
              <w:spacing w:before="120" w:after="120"/>
              <w:rPr>
                <w:b/>
              </w:rPr>
            </w:pPr>
            <w:r w:rsidRPr="003D3432">
              <w:rPr>
                <w:b/>
              </w:rPr>
              <w:t>Specific Management Responsibilities</w:t>
            </w:r>
          </w:p>
          <w:p w:rsidR="00594C01" w:rsidRPr="003D3432" w:rsidRDefault="00594C01" w:rsidP="00C007C8">
            <w:r w:rsidRPr="003D3432">
              <w:t>Budgets:</w:t>
            </w:r>
            <w:r w:rsidR="00B26E52" w:rsidRPr="003D3432">
              <w:t xml:space="preserve"> </w:t>
            </w:r>
            <w:r w:rsidR="00D65C8A">
              <w:t>None</w:t>
            </w:r>
          </w:p>
          <w:p w:rsidR="00594C01" w:rsidRPr="003D3432" w:rsidRDefault="00594C01" w:rsidP="00C007C8">
            <w:r w:rsidRPr="003D3432">
              <w:t>Staff:</w:t>
            </w:r>
            <w:r w:rsidR="00B26E52" w:rsidRPr="003D3432">
              <w:t xml:space="preserve"> </w:t>
            </w:r>
            <w:r w:rsidR="00D65C8A">
              <w:t>None</w:t>
            </w:r>
          </w:p>
          <w:p w:rsidR="000B4B43" w:rsidRPr="003D3432" w:rsidRDefault="00594C01" w:rsidP="00C007C8">
            <w:r w:rsidRPr="003D3432">
              <w:t>Other (e.g. accommodation; equipment):</w:t>
            </w:r>
            <w:r w:rsidR="006F53E4" w:rsidRPr="003D3432">
              <w:t xml:space="preserve"> </w:t>
            </w:r>
            <w:r w:rsidR="00D65C8A">
              <w:t>None</w:t>
            </w:r>
          </w:p>
        </w:tc>
      </w:tr>
    </w:tbl>
    <w:p w:rsidR="00594C01" w:rsidRPr="00C007C8" w:rsidRDefault="00594C01" w:rsidP="00C007C8"/>
    <w:p w:rsidR="00DE696E" w:rsidRDefault="00DE696E" w:rsidP="002B4CC4"/>
    <w:p w:rsidR="00594C01" w:rsidRPr="00C007C8" w:rsidRDefault="00594C01" w:rsidP="00C007C8"/>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52"/>
        <w:gridCol w:w="5264"/>
      </w:tblGrid>
      <w:tr w:rsidR="00DE696E" w:rsidRPr="005D7A28" w:rsidTr="00D65C8A">
        <w:trPr>
          <w:trHeight w:val="410"/>
        </w:trPr>
        <w:tc>
          <w:tcPr>
            <w:tcW w:w="9016"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D65C8A">
        <w:tc>
          <w:tcPr>
            <w:tcW w:w="3752" w:type="dxa"/>
          </w:tcPr>
          <w:p w:rsidR="00DE696E" w:rsidRPr="00D237AE" w:rsidRDefault="00DE696E" w:rsidP="001F575A">
            <w:pPr>
              <w:spacing w:before="120" w:after="120"/>
              <w:rPr>
                <w:rFonts w:ascii="Calibri" w:hAnsi="Calibri" w:cs="Arial"/>
                <w:b/>
              </w:rPr>
            </w:pPr>
            <w:r w:rsidRPr="00D237AE">
              <w:rPr>
                <w:rFonts w:ascii="Calibri" w:hAnsi="Calibri" w:cs="Arial"/>
                <w:b/>
              </w:rPr>
              <w:t>Specialist Knowledge/Qualifications</w:t>
            </w:r>
          </w:p>
        </w:tc>
        <w:tc>
          <w:tcPr>
            <w:tcW w:w="5264" w:type="dxa"/>
          </w:tcPr>
          <w:tbl>
            <w:tblPr>
              <w:tblW w:w="0" w:type="auto"/>
              <w:tblBorders>
                <w:top w:val="nil"/>
                <w:left w:val="nil"/>
                <w:bottom w:val="nil"/>
                <w:right w:val="nil"/>
              </w:tblBorders>
              <w:tblLook w:val="0000" w:firstRow="0" w:lastRow="0" w:firstColumn="0" w:lastColumn="0" w:noHBand="0" w:noVBand="0"/>
            </w:tblPr>
            <w:tblGrid>
              <w:gridCol w:w="5048"/>
            </w:tblGrid>
            <w:tr w:rsidR="00D65C8A" w:rsidRPr="00D65C8A">
              <w:tblPrEx>
                <w:tblCellMar>
                  <w:top w:w="0" w:type="dxa"/>
                  <w:bottom w:w="0" w:type="dxa"/>
                </w:tblCellMar>
              </w:tblPrEx>
              <w:trPr>
                <w:trHeight w:val="783"/>
              </w:trPr>
              <w:tc>
                <w:tcPr>
                  <w:tcW w:w="0" w:type="auto"/>
                </w:tcPr>
                <w:p w:rsidR="00D65C8A" w:rsidRPr="00D237AE" w:rsidRDefault="00D65C8A" w:rsidP="00D237AE">
                  <w:pPr>
                    <w:pStyle w:val="ListParagraph"/>
                    <w:numPr>
                      <w:ilvl w:val="0"/>
                      <w:numId w:val="50"/>
                    </w:numPr>
                    <w:autoSpaceDE w:val="0"/>
                    <w:autoSpaceDN w:val="0"/>
                    <w:adjustRightInd w:val="0"/>
                    <w:rPr>
                      <w:rFonts w:cstheme="minorHAnsi"/>
                      <w:color w:val="000000"/>
                      <w:szCs w:val="22"/>
                    </w:rPr>
                  </w:pPr>
                  <w:r w:rsidRPr="00D237AE">
                    <w:rPr>
                      <w:rFonts w:cstheme="minorHAnsi"/>
                      <w:color w:val="000000"/>
                      <w:szCs w:val="22"/>
                    </w:rPr>
                    <w:t xml:space="preserve">Has a relevant qualification in area of specialism: </w:t>
                  </w:r>
                </w:p>
                <w:p w:rsidR="00D65C8A" w:rsidRPr="00D65C8A" w:rsidRDefault="00D65C8A" w:rsidP="00D65C8A">
                  <w:pPr>
                    <w:autoSpaceDE w:val="0"/>
                    <w:autoSpaceDN w:val="0"/>
                    <w:adjustRightInd w:val="0"/>
                    <w:rPr>
                      <w:rFonts w:cstheme="minorHAnsi"/>
                      <w:color w:val="000000"/>
                      <w:szCs w:val="22"/>
                    </w:rPr>
                  </w:pPr>
                  <w:r w:rsidRPr="00D65C8A">
                    <w:rPr>
                      <w:rFonts w:cstheme="minorHAnsi"/>
                      <w:color w:val="000000"/>
                      <w:szCs w:val="22"/>
                    </w:rPr>
                    <w:t xml:space="preserve">1.1. Microsoft Windows </w:t>
                  </w:r>
                </w:p>
                <w:p w:rsidR="00D65C8A" w:rsidRPr="00D65C8A" w:rsidRDefault="00D65C8A" w:rsidP="00D65C8A">
                  <w:pPr>
                    <w:autoSpaceDE w:val="0"/>
                    <w:autoSpaceDN w:val="0"/>
                    <w:adjustRightInd w:val="0"/>
                    <w:rPr>
                      <w:rFonts w:cstheme="minorHAnsi"/>
                      <w:color w:val="000000"/>
                      <w:szCs w:val="22"/>
                    </w:rPr>
                  </w:pPr>
                  <w:r w:rsidRPr="00D65C8A">
                    <w:rPr>
                      <w:rFonts w:cstheme="minorHAnsi"/>
                      <w:color w:val="000000"/>
                      <w:szCs w:val="22"/>
                    </w:rPr>
                    <w:t xml:space="preserve">1.2. Novell </w:t>
                  </w:r>
                  <w:proofErr w:type="spellStart"/>
                  <w:r w:rsidRPr="00D65C8A">
                    <w:rPr>
                      <w:rFonts w:cstheme="minorHAnsi"/>
                      <w:color w:val="000000"/>
                      <w:szCs w:val="22"/>
                    </w:rPr>
                    <w:t>ZENworks</w:t>
                  </w:r>
                  <w:proofErr w:type="spellEnd"/>
                  <w:r w:rsidRPr="00D65C8A">
                    <w:rPr>
                      <w:rFonts w:cstheme="minorHAnsi"/>
                      <w:color w:val="000000"/>
                      <w:szCs w:val="22"/>
                    </w:rPr>
                    <w:t xml:space="preserve"> </w:t>
                  </w:r>
                </w:p>
                <w:p w:rsidR="00D65C8A" w:rsidRPr="00D65C8A" w:rsidRDefault="00D65C8A" w:rsidP="00D65C8A">
                  <w:pPr>
                    <w:autoSpaceDE w:val="0"/>
                    <w:autoSpaceDN w:val="0"/>
                    <w:adjustRightInd w:val="0"/>
                    <w:rPr>
                      <w:rFonts w:cstheme="minorHAnsi"/>
                      <w:color w:val="000000"/>
                      <w:szCs w:val="22"/>
                    </w:rPr>
                  </w:pPr>
                  <w:r w:rsidRPr="00D65C8A">
                    <w:rPr>
                      <w:rFonts w:cstheme="minorHAnsi"/>
                      <w:color w:val="000000"/>
                      <w:szCs w:val="22"/>
                    </w:rPr>
                    <w:t xml:space="preserve">1.3. Microsoft System Centre Configuration Manager </w:t>
                  </w:r>
                </w:p>
                <w:p w:rsidR="00D65C8A" w:rsidRPr="00D65C8A" w:rsidRDefault="00D65C8A" w:rsidP="00D65C8A">
                  <w:pPr>
                    <w:autoSpaceDE w:val="0"/>
                    <w:autoSpaceDN w:val="0"/>
                    <w:adjustRightInd w:val="0"/>
                    <w:rPr>
                      <w:rFonts w:cstheme="minorHAnsi"/>
                      <w:color w:val="000000"/>
                      <w:szCs w:val="22"/>
                    </w:rPr>
                  </w:pPr>
                  <w:r w:rsidRPr="00D65C8A">
                    <w:rPr>
                      <w:rFonts w:cstheme="minorHAnsi"/>
                      <w:color w:val="000000"/>
                      <w:szCs w:val="22"/>
                    </w:rPr>
                    <w:t xml:space="preserve">1.4. Dell ATP </w:t>
                  </w:r>
                </w:p>
                <w:p w:rsidR="00D65C8A" w:rsidRPr="00D65C8A" w:rsidRDefault="00D65C8A" w:rsidP="00D65C8A">
                  <w:pPr>
                    <w:autoSpaceDE w:val="0"/>
                    <w:autoSpaceDN w:val="0"/>
                    <w:adjustRightInd w:val="0"/>
                    <w:rPr>
                      <w:rFonts w:cstheme="minorHAnsi"/>
                      <w:color w:val="000000"/>
                      <w:szCs w:val="22"/>
                    </w:rPr>
                  </w:pPr>
                </w:p>
              </w:tc>
            </w:tr>
          </w:tbl>
          <w:p w:rsidR="00603E81" w:rsidRPr="00D237AE" w:rsidRDefault="00603E81" w:rsidP="00DE696E">
            <w:pPr>
              <w:spacing w:before="120" w:after="120"/>
              <w:rPr>
                <w:rFonts w:cstheme="minorHAnsi"/>
              </w:rPr>
            </w:pPr>
          </w:p>
        </w:tc>
      </w:tr>
      <w:tr w:rsidR="00D65C8A" w:rsidRPr="005D7A28" w:rsidTr="00D65C8A">
        <w:tc>
          <w:tcPr>
            <w:tcW w:w="3752" w:type="dxa"/>
          </w:tcPr>
          <w:p w:rsidR="00D65C8A" w:rsidRPr="00D237AE" w:rsidRDefault="00D65C8A" w:rsidP="00D65C8A">
            <w:pPr>
              <w:rPr>
                <w:rFonts w:ascii="Calibri" w:hAnsi="Calibri" w:cs="Arial"/>
                <w:b/>
              </w:rPr>
            </w:pPr>
            <w:r w:rsidRPr="00D237AE">
              <w:rPr>
                <w:rFonts w:ascii="Calibri" w:hAnsi="Calibri" w:cs="Arial"/>
                <w:b/>
              </w:rPr>
              <w:t>Relevant Experience</w:t>
            </w:r>
          </w:p>
        </w:tc>
        <w:tc>
          <w:tcPr>
            <w:tcW w:w="5264" w:type="dxa"/>
          </w:tcPr>
          <w:p w:rsidR="00D65C8A" w:rsidRPr="00D237AE" w:rsidRDefault="00D65C8A" w:rsidP="00D237AE">
            <w:pPr>
              <w:pStyle w:val="Default"/>
              <w:numPr>
                <w:ilvl w:val="0"/>
                <w:numId w:val="49"/>
              </w:numPr>
              <w:rPr>
                <w:rFonts w:asciiTheme="minorHAnsi" w:hAnsiTheme="minorHAnsi" w:cstheme="minorHAnsi"/>
                <w:sz w:val="22"/>
              </w:rPr>
            </w:pPr>
            <w:r w:rsidRPr="00D237AE">
              <w:rPr>
                <w:rFonts w:asciiTheme="minorHAnsi" w:hAnsiTheme="minorHAnsi" w:cstheme="minorHAnsi"/>
                <w:sz w:val="22"/>
              </w:rPr>
              <w:t xml:space="preserve">Demonstrates experience with the following technologies focussing on client management technologies: </w:t>
            </w:r>
          </w:p>
          <w:p w:rsidR="00D65C8A" w:rsidRPr="00D237AE" w:rsidRDefault="00D65C8A" w:rsidP="00D65C8A">
            <w:pPr>
              <w:pStyle w:val="Default"/>
              <w:rPr>
                <w:rFonts w:asciiTheme="minorHAnsi" w:hAnsiTheme="minorHAnsi" w:cstheme="minorHAnsi"/>
                <w:sz w:val="22"/>
              </w:rPr>
            </w:pPr>
            <w:r w:rsidRPr="00D237AE">
              <w:rPr>
                <w:rFonts w:asciiTheme="minorHAnsi" w:hAnsiTheme="minorHAnsi" w:cstheme="minorHAnsi"/>
                <w:sz w:val="22"/>
              </w:rPr>
              <w:t xml:space="preserve">1.1. Microsoft Windows 10 </w:t>
            </w:r>
          </w:p>
          <w:p w:rsidR="00D65C8A" w:rsidRPr="00D237AE" w:rsidRDefault="00D65C8A" w:rsidP="00D65C8A">
            <w:pPr>
              <w:pStyle w:val="Default"/>
              <w:rPr>
                <w:rFonts w:asciiTheme="minorHAnsi" w:hAnsiTheme="minorHAnsi" w:cstheme="minorHAnsi"/>
                <w:sz w:val="22"/>
              </w:rPr>
            </w:pPr>
            <w:r w:rsidRPr="00D237AE">
              <w:rPr>
                <w:rFonts w:asciiTheme="minorHAnsi" w:hAnsiTheme="minorHAnsi" w:cstheme="minorHAnsi"/>
                <w:sz w:val="22"/>
              </w:rPr>
              <w:t xml:space="preserve">1.2. Microsoft Windows Server 2012 and 2016 </w:t>
            </w:r>
          </w:p>
          <w:p w:rsidR="00D65C8A" w:rsidRPr="00D237AE" w:rsidRDefault="00D65C8A" w:rsidP="00D65C8A">
            <w:pPr>
              <w:pStyle w:val="Default"/>
              <w:rPr>
                <w:rFonts w:asciiTheme="minorHAnsi" w:hAnsiTheme="minorHAnsi" w:cstheme="minorHAnsi"/>
                <w:sz w:val="22"/>
              </w:rPr>
            </w:pPr>
            <w:r w:rsidRPr="00D237AE">
              <w:rPr>
                <w:rFonts w:asciiTheme="minorHAnsi" w:hAnsiTheme="minorHAnsi" w:cstheme="minorHAnsi"/>
                <w:sz w:val="22"/>
              </w:rPr>
              <w:t xml:space="preserve">1.3. Microsoft Group Policy </w:t>
            </w:r>
          </w:p>
          <w:p w:rsidR="00D65C8A" w:rsidRPr="00D237AE" w:rsidRDefault="00D65C8A" w:rsidP="00D65C8A">
            <w:pPr>
              <w:pStyle w:val="Default"/>
              <w:rPr>
                <w:rFonts w:asciiTheme="minorHAnsi" w:hAnsiTheme="minorHAnsi" w:cstheme="minorHAnsi"/>
                <w:sz w:val="22"/>
              </w:rPr>
            </w:pPr>
            <w:r w:rsidRPr="00D237AE">
              <w:rPr>
                <w:rFonts w:asciiTheme="minorHAnsi" w:hAnsiTheme="minorHAnsi" w:cstheme="minorHAnsi"/>
                <w:sz w:val="22"/>
              </w:rPr>
              <w:t xml:space="preserve">1.4. Novell </w:t>
            </w:r>
            <w:proofErr w:type="spellStart"/>
            <w:r w:rsidRPr="00D237AE">
              <w:rPr>
                <w:rFonts w:asciiTheme="minorHAnsi" w:hAnsiTheme="minorHAnsi" w:cstheme="minorHAnsi"/>
                <w:sz w:val="22"/>
              </w:rPr>
              <w:t>ZENworks</w:t>
            </w:r>
            <w:proofErr w:type="spellEnd"/>
            <w:r w:rsidRPr="00D237AE">
              <w:rPr>
                <w:rFonts w:asciiTheme="minorHAnsi" w:hAnsiTheme="minorHAnsi" w:cstheme="minorHAnsi"/>
                <w:sz w:val="22"/>
              </w:rPr>
              <w:t xml:space="preserve"> Configuration Management 2017 </w:t>
            </w:r>
          </w:p>
          <w:p w:rsidR="00D65C8A" w:rsidRPr="00D237AE" w:rsidRDefault="00D65C8A" w:rsidP="00D65C8A">
            <w:pPr>
              <w:pStyle w:val="Default"/>
              <w:rPr>
                <w:rFonts w:asciiTheme="minorHAnsi" w:hAnsiTheme="minorHAnsi" w:cstheme="minorHAnsi"/>
                <w:sz w:val="22"/>
              </w:rPr>
            </w:pPr>
            <w:r w:rsidRPr="00D237AE">
              <w:rPr>
                <w:rFonts w:asciiTheme="minorHAnsi" w:hAnsiTheme="minorHAnsi" w:cstheme="minorHAnsi"/>
                <w:sz w:val="22"/>
              </w:rPr>
              <w:t xml:space="preserve">1.5. Microsoft Software Installer (MSI)Application technology </w:t>
            </w:r>
          </w:p>
          <w:p w:rsidR="00D65C8A" w:rsidRPr="00D237AE" w:rsidRDefault="00D65C8A" w:rsidP="00D65C8A">
            <w:pPr>
              <w:pStyle w:val="Default"/>
              <w:rPr>
                <w:rFonts w:asciiTheme="minorHAnsi" w:hAnsiTheme="minorHAnsi" w:cstheme="minorHAnsi"/>
                <w:sz w:val="22"/>
              </w:rPr>
            </w:pPr>
            <w:r w:rsidRPr="00D237AE">
              <w:rPr>
                <w:rFonts w:asciiTheme="minorHAnsi" w:hAnsiTheme="minorHAnsi" w:cstheme="minorHAnsi"/>
                <w:sz w:val="22"/>
              </w:rPr>
              <w:t xml:space="preserve">1.6. Scripting (Batch, VB, PowerShell) </w:t>
            </w:r>
          </w:p>
          <w:p w:rsidR="00D65C8A" w:rsidRPr="00D237AE" w:rsidRDefault="00D65C8A" w:rsidP="00D65C8A">
            <w:pPr>
              <w:pStyle w:val="Default"/>
              <w:rPr>
                <w:rFonts w:asciiTheme="minorHAnsi" w:hAnsiTheme="minorHAnsi" w:cstheme="minorHAnsi"/>
                <w:sz w:val="22"/>
              </w:rPr>
            </w:pPr>
          </w:p>
        </w:tc>
      </w:tr>
      <w:tr w:rsidR="00D65C8A" w:rsidRPr="005D7A28" w:rsidTr="00D65C8A">
        <w:tc>
          <w:tcPr>
            <w:tcW w:w="3752" w:type="dxa"/>
            <w:vAlign w:val="center"/>
          </w:tcPr>
          <w:p w:rsidR="00D65C8A" w:rsidRPr="00D237AE" w:rsidRDefault="00D65C8A" w:rsidP="00D65C8A">
            <w:pPr>
              <w:spacing w:before="120" w:after="120"/>
              <w:rPr>
                <w:rFonts w:ascii="Calibri" w:hAnsi="Calibri" w:cs="Arial"/>
                <w:b/>
              </w:rPr>
            </w:pPr>
            <w:r w:rsidRPr="00D237AE">
              <w:rPr>
                <w:rFonts w:ascii="Calibri" w:hAnsi="Calibri" w:cs="Arial"/>
                <w:b/>
              </w:rPr>
              <w:t>Communication Skills</w:t>
            </w:r>
          </w:p>
        </w:tc>
        <w:tc>
          <w:tcPr>
            <w:tcW w:w="5264" w:type="dxa"/>
            <w:vAlign w:val="center"/>
          </w:tcPr>
          <w:p w:rsidR="00D65C8A" w:rsidRPr="00D237AE" w:rsidRDefault="00D65C8A" w:rsidP="00D237AE">
            <w:pPr>
              <w:pStyle w:val="Default"/>
              <w:numPr>
                <w:ilvl w:val="0"/>
                <w:numId w:val="48"/>
              </w:numPr>
              <w:spacing w:line="276" w:lineRule="auto"/>
              <w:rPr>
                <w:rFonts w:asciiTheme="minorHAnsi" w:hAnsiTheme="minorHAnsi" w:cstheme="minorHAnsi"/>
                <w:sz w:val="22"/>
              </w:rPr>
            </w:pPr>
            <w:r w:rsidRPr="00D237AE">
              <w:rPr>
                <w:rFonts w:asciiTheme="minorHAnsi" w:hAnsiTheme="minorHAnsi" w:cstheme="minorHAnsi"/>
                <w:sz w:val="22"/>
              </w:rPr>
              <w:t xml:space="preserve">Communicates effectively orally, in writing and/or using visual media. </w:t>
            </w:r>
          </w:p>
        </w:tc>
      </w:tr>
      <w:tr w:rsidR="00D65C8A" w:rsidRPr="005D7A28" w:rsidTr="00D65C8A">
        <w:tc>
          <w:tcPr>
            <w:tcW w:w="3752" w:type="dxa"/>
            <w:vAlign w:val="center"/>
          </w:tcPr>
          <w:p w:rsidR="00D237AE" w:rsidRPr="00D237AE" w:rsidRDefault="00D237AE" w:rsidP="00D237AE">
            <w:pPr>
              <w:spacing w:before="120" w:after="120"/>
              <w:rPr>
                <w:rFonts w:ascii="Calibri" w:hAnsi="Calibri" w:cs="Arial"/>
                <w:b/>
              </w:rPr>
            </w:pPr>
            <w:r w:rsidRPr="00D237AE">
              <w:rPr>
                <w:rFonts w:ascii="Calibri" w:hAnsi="Calibri" w:cs="Arial"/>
                <w:b/>
              </w:rPr>
              <w:t>Student Experience or Customer</w:t>
            </w:r>
          </w:p>
          <w:p w:rsidR="00D65C8A" w:rsidRPr="00D237AE" w:rsidRDefault="00D237AE" w:rsidP="00D237AE">
            <w:pPr>
              <w:spacing w:before="120" w:after="120"/>
              <w:rPr>
                <w:rFonts w:ascii="Calibri" w:hAnsi="Calibri" w:cs="Arial"/>
                <w:b/>
              </w:rPr>
            </w:pPr>
            <w:r w:rsidRPr="00D237AE">
              <w:rPr>
                <w:rFonts w:ascii="Calibri" w:hAnsi="Calibri" w:cs="Arial"/>
                <w:b/>
              </w:rPr>
              <w:t>Service</w:t>
            </w:r>
          </w:p>
        </w:tc>
        <w:tc>
          <w:tcPr>
            <w:tcW w:w="5264" w:type="dxa"/>
            <w:vAlign w:val="center"/>
          </w:tcPr>
          <w:p w:rsidR="00D237AE" w:rsidRPr="00D237AE" w:rsidRDefault="00D237AE" w:rsidP="00D237AE">
            <w:pPr>
              <w:pStyle w:val="ListParagraph"/>
              <w:numPr>
                <w:ilvl w:val="0"/>
                <w:numId w:val="48"/>
              </w:numPr>
              <w:spacing w:before="120" w:after="120"/>
              <w:rPr>
                <w:rFonts w:cstheme="minorHAnsi"/>
              </w:rPr>
            </w:pPr>
            <w:r w:rsidRPr="00D237AE">
              <w:rPr>
                <w:rFonts w:cstheme="minorHAnsi"/>
              </w:rPr>
              <w:t>Builds and maintains positive relationships with</w:t>
            </w:r>
          </w:p>
          <w:p w:rsidR="00D65C8A" w:rsidRPr="00D237AE" w:rsidRDefault="00D237AE" w:rsidP="00D237AE">
            <w:pPr>
              <w:pStyle w:val="ListParagraph"/>
              <w:numPr>
                <w:ilvl w:val="0"/>
                <w:numId w:val="48"/>
              </w:numPr>
              <w:spacing w:before="120" w:after="120"/>
              <w:rPr>
                <w:rFonts w:cstheme="minorHAnsi"/>
              </w:rPr>
            </w:pPr>
            <w:r w:rsidRPr="00D237AE">
              <w:rPr>
                <w:rFonts w:cstheme="minorHAnsi"/>
              </w:rPr>
              <w:t>students or customers</w:t>
            </w:r>
          </w:p>
        </w:tc>
      </w:tr>
      <w:tr w:rsidR="00D65C8A" w:rsidRPr="005D7A28" w:rsidTr="00D65C8A">
        <w:tc>
          <w:tcPr>
            <w:tcW w:w="3752" w:type="dxa"/>
            <w:vAlign w:val="center"/>
          </w:tcPr>
          <w:p w:rsidR="00D65C8A" w:rsidRPr="00D237AE" w:rsidRDefault="00D65C8A" w:rsidP="00D65C8A">
            <w:pPr>
              <w:spacing w:before="120" w:after="120"/>
              <w:rPr>
                <w:rFonts w:ascii="Calibri" w:hAnsi="Calibri" w:cs="Arial"/>
                <w:b/>
              </w:rPr>
            </w:pPr>
            <w:r w:rsidRPr="00D237AE">
              <w:rPr>
                <w:rFonts w:ascii="Calibri" w:hAnsi="Calibri" w:cs="Arial"/>
                <w:b/>
              </w:rPr>
              <w:t xml:space="preserve">Professional Practice </w:t>
            </w:r>
          </w:p>
        </w:tc>
        <w:tc>
          <w:tcPr>
            <w:tcW w:w="5264" w:type="dxa"/>
            <w:vAlign w:val="center"/>
          </w:tcPr>
          <w:p w:rsidR="00D65C8A" w:rsidRPr="00D237AE" w:rsidRDefault="00D237AE" w:rsidP="00D237AE">
            <w:pPr>
              <w:pStyle w:val="ListParagraph"/>
              <w:numPr>
                <w:ilvl w:val="0"/>
                <w:numId w:val="48"/>
              </w:numPr>
              <w:spacing w:before="120" w:after="120"/>
              <w:rPr>
                <w:rFonts w:cstheme="minorHAnsi"/>
                <w:color w:val="000000"/>
              </w:rPr>
            </w:pPr>
            <w:r w:rsidRPr="00D237AE">
              <w:rPr>
                <w:rFonts w:cstheme="minorHAnsi"/>
                <w:color w:val="000000"/>
              </w:rPr>
              <w:t>Contributes to advancing professional practice/research or scholarly activity in own</w:t>
            </w:r>
            <w:r w:rsidRPr="00D237AE">
              <w:rPr>
                <w:rFonts w:cstheme="minorHAnsi"/>
                <w:color w:val="000000"/>
              </w:rPr>
              <w:t xml:space="preserve"> </w:t>
            </w:r>
            <w:r w:rsidRPr="00D237AE">
              <w:rPr>
                <w:rFonts w:cstheme="minorHAnsi"/>
                <w:color w:val="000000"/>
              </w:rPr>
              <w:t>area of specialism</w:t>
            </w:r>
          </w:p>
        </w:tc>
      </w:tr>
      <w:tr w:rsidR="00D65C8A" w:rsidRPr="005D7A28" w:rsidTr="00D65C8A">
        <w:tc>
          <w:tcPr>
            <w:tcW w:w="3752" w:type="dxa"/>
            <w:vAlign w:val="center"/>
          </w:tcPr>
          <w:p w:rsidR="00D65C8A" w:rsidRPr="00D237AE" w:rsidRDefault="00D65C8A" w:rsidP="00D65C8A">
            <w:pPr>
              <w:rPr>
                <w:rFonts w:ascii="Calibri" w:hAnsi="Calibri" w:cs="Arial"/>
                <w:b/>
              </w:rPr>
            </w:pPr>
            <w:r w:rsidRPr="00D237AE">
              <w:rPr>
                <w:rFonts w:ascii="Calibri" w:hAnsi="Calibri" w:cs="Arial"/>
                <w:b/>
              </w:rPr>
              <w:t>Planning and Managing Resources</w:t>
            </w:r>
          </w:p>
        </w:tc>
        <w:tc>
          <w:tcPr>
            <w:tcW w:w="5264" w:type="dxa"/>
            <w:vAlign w:val="center"/>
          </w:tcPr>
          <w:p w:rsidR="00D65C8A" w:rsidRPr="00D237AE" w:rsidRDefault="00D237AE" w:rsidP="00D237AE">
            <w:pPr>
              <w:pStyle w:val="ListParagraph"/>
              <w:numPr>
                <w:ilvl w:val="0"/>
                <w:numId w:val="48"/>
              </w:numPr>
              <w:contextualSpacing/>
              <w:rPr>
                <w:rFonts w:cstheme="minorHAnsi"/>
                <w:color w:val="000000"/>
              </w:rPr>
            </w:pPr>
            <w:r w:rsidRPr="00D237AE">
              <w:rPr>
                <w:rFonts w:cstheme="minorHAnsi"/>
                <w:color w:val="000000"/>
              </w:rPr>
              <w:t>Plans, prioritises and organises work to</w:t>
            </w:r>
            <w:r w:rsidRPr="00D237AE">
              <w:rPr>
                <w:rFonts w:cstheme="minorHAnsi"/>
                <w:color w:val="000000"/>
              </w:rPr>
              <w:t xml:space="preserve"> </w:t>
            </w:r>
            <w:r w:rsidRPr="00D237AE">
              <w:rPr>
                <w:rFonts w:cstheme="minorHAnsi"/>
                <w:color w:val="000000"/>
              </w:rPr>
              <w:t>achieve objectives on time</w:t>
            </w:r>
          </w:p>
          <w:p w:rsidR="00D65C8A" w:rsidRPr="00D237AE" w:rsidRDefault="00D65C8A" w:rsidP="00D237AE">
            <w:pPr>
              <w:contextualSpacing/>
              <w:rPr>
                <w:rFonts w:cstheme="minorHAnsi"/>
                <w:color w:val="000000"/>
              </w:rPr>
            </w:pPr>
          </w:p>
        </w:tc>
      </w:tr>
      <w:tr w:rsidR="00D65C8A" w:rsidRPr="005D7A28" w:rsidTr="00D65C8A">
        <w:tc>
          <w:tcPr>
            <w:tcW w:w="3752" w:type="dxa"/>
            <w:vAlign w:val="center"/>
          </w:tcPr>
          <w:p w:rsidR="00D65C8A" w:rsidRPr="00D237AE" w:rsidRDefault="00D65C8A" w:rsidP="00D65C8A">
            <w:pPr>
              <w:rPr>
                <w:rFonts w:ascii="Calibri" w:hAnsi="Calibri" w:cs="Arial"/>
                <w:b/>
              </w:rPr>
            </w:pPr>
            <w:r w:rsidRPr="00D237AE">
              <w:rPr>
                <w:rFonts w:ascii="Calibri" w:hAnsi="Calibri" w:cs="Arial"/>
                <w:b/>
              </w:rPr>
              <w:t>Teamwork</w:t>
            </w:r>
          </w:p>
        </w:tc>
        <w:tc>
          <w:tcPr>
            <w:tcW w:w="5264" w:type="dxa"/>
            <w:vAlign w:val="center"/>
          </w:tcPr>
          <w:p w:rsidR="00D65C8A" w:rsidRPr="00D237AE" w:rsidRDefault="00D237AE" w:rsidP="00D237AE">
            <w:pPr>
              <w:pStyle w:val="ListParagraph"/>
              <w:numPr>
                <w:ilvl w:val="0"/>
                <w:numId w:val="48"/>
              </w:numPr>
              <w:rPr>
                <w:rFonts w:cstheme="minorHAnsi"/>
                <w:color w:val="000000"/>
              </w:rPr>
            </w:pPr>
            <w:r w:rsidRPr="00D237AE">
              <w:rPr>
                <w:rFonts w:cstheme="minorHAnsi"/>
                <w:color w:val="000000"/>
              </w:rPr>
              <w:t>Works collaborativ</w:t>
            </w:r>
            <w:r w:rsidRPr="00D237AE">
              <w:rPr>
                <w:rFonts w:cstheme="minorHAnsi"/>
                <w:color w:val="000000"/>
              </w:rPr>
              <w:t>ely in a team and where appropri</w:t>
            </w:r>
            <w:r w:rsidRPr="00D237AE">
              <w:rPr>
                <w:rFonts w:cstheme="minorHAnsi"/>
                <w:color w:val="000000"/>
              </w:rPr>
              <w:t>ate across or with different professional</w:t>
            </w:r>
            <w:r w:rsidRPr="00D237AE">
              <w:rPr>
                <w:rFonts w:cstheme="minorHAnsi"/>
                <w:color w:val="000000"/>
              </w:rPr>
              <w:t xml:space="preserve"> </w:t>
            </w:r>
            <w:r w:rsidRPr="00D237AE">
              <w:rPr>
                <w:rFonts w:cstheme="minorHAnsi"/>
                <w:color w:val="000000"/>
              </w:rPr>
              <w:t>groups.</w:t>
            </w:r>
          </w:p>
          <w:p w:rsidR="00D65C8A" w:rsidRPr="00D237AE" w:rsidRDefault="00D65C8A" w:rsidP="00D237AE">
            <w:pPr>
              <w:rPr>
                <w:rFonts w:cstheme="minorHAnsi"/>
                <w:color w:val="000000"/>
              </w:rPr>
            </w:pPr>
          </w:p>
        </w:tc>
      </w:tr>
      <w:tr w:rsidR="00D65C8A" w:rsidRPr="005D7A28" w:rsidTr="00D65C8A">
        <w:tc>
          <w:tcPr>
            <w:tcW w:w="3752" w:type="dxa"/>
            <w:vAlign w:val="center"/>
          </w:tcPr>
          <w:p w:rsidR="00D65C8A" w:rsidRPr="00D237AE" w:rsidRDefault="00D65C8A" w:rsidP="00D65C8A">
            <w:pPr>
              <w:spacing w:before="120" w:after="120"/>
              <w:rPr>
                <w:rFonts w:ascii="Calibri" w:hAnsi="Calibri" w:cs="Arial"/>
                <w:b/>
              </w:rPr>
            </w:pPr>
            <w:r w:rsidRPr="00D237AE">
              <w:rPr>
                <w:rFonts w:ascii="Calibri" w:hAnsi="Calibri" w:cs="Arial"/>
                <w:b/>
              </w:rPr>
              <w:t>Creativity, Innovation and Problem Solving</w:t>
            </w:r>
          </w:p>
        </w:tc>
        <w:tc>
          <w:tcPr>
            <w:tcW w:w="5264" w:type="dxa"/>
            <w:vAlign w:val="center"/>
          </w:tcPr>
          <w:p w:rsidR="00D65C8A" w:rsidRPr="00D237AE" w:rsidRDefault="00D237AE" w:rsidP="00D237AE">
            <w:pPr>
              <w:pStyle w:val="ListParagraph"/>
              <w:numPr>
                <w:ilvl w:val="0"/>
                <w:numId w:val="48"/>
              </w:numPr>
              <w:spacing w:before="120" w:after="120"/>
              <w:rPr>
                <w:rFonts w:cstheme="minorHAnsi"/>
                <w:color w:val="000000"/>
              </w:rPr>
            </w:pPr>
            <w:r w:rsidRPr="00D237AE">
              <w:rPr>
                <w:rFonts w:cstheme="minorHAnsi"/>
                <w:color w:val="000000"/>
              </w:rPr>
              <w:t>Uses initiative or creativity to resolve problems</w:t>
            </w:r>
          </w:p>
        </w:tc>
      </w:tr>
    </w:tbl>
    <w:p w:rsidR="00603E81" w:rsidRDefault="00603E81" w:rsidP="00DE696E">
      <w:pPr>
        <w:spacing w:before="120"/>
        <w:rPr>
          <w:rFonts w:ascii="Calibri" w:hAnsi="Calibri" w:cs="Arial"/>
          <w:bCs/>
        </w:rPr>
      </w:pPr>
    </w:p>
    <w:p w:rsidR="00FC2F78" w:rsidRDefault="00FC2F78" w:rsidP="00DE696E">
      <w:pPr>
        <w:spacing w:before="120"/>
        <w:rPr>
          <w:rFonts w:ascii="Calibri" w:hAnsi="Calibri" w:cs="Arial"/>
        </w:rPr>
      </w:pPr>
    </w:p>
    <w:p w:rsidR="004333A8" w:rsidRPr="00C007C8" w:rsidRDefault="004333A8" w:rsidP="00C007C8"/>
    <w:p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ABB" w:rsidRDefault="00B06ABB">
      <w:r>
        <w:separator/>
      </w:r>
    </w:p>
  </w:endnote>
  <w:endnote w:type="continuationSeparator" w:id="0">
    <w:p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ABB" w:rsidRDefault="00B06ABB">
      <w:r>
        <w:separator/>
      </w:r>
    </w:p>
  </w:footnote>
  <w:footnote w:type="continuationSeparator" w:id="0">
    <w:p w:rsidR="00B06ABB" w:rsidRDefault="00B0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402"/>
    <w:multiLevelType w:val="multilevel"/>
    <w:tmpl w:val="00000885"/>
    <w:lvl w:ilvl="0">
      <w:numFmt w:val="bullet"/>
      <w:lvlText w:val=""/>
      <w:lvlJc w:val="left"/>
      <w:pPr>
        <w:ind w:left="612" w:hanging="385"/>
      </w:pPr>
      <w:rPr>
        <w:rFonts w:ascii="Symbol" w:hAnsi="Symbol" w:cs="Symbol"/>
        <w:b w:val="0"/>
        <w:bCs w:val="0"/>
        <w:w w:val="99"/>
        <w:sz w:val="20"/>
        <w:szCs w:val="20"/>
      </w:rPr>
    </w:lvl>
    <w:lvl w:ilvl="1">
      <w:numFmt w:val="bullet"/>
      <w:lvlText w:val="•"/>
      <w:lvlJc w:val="left"/>
      <w:pPr>
        <w:ind w:left="1626" w:hanging="385"/>
      </w:pPr>
    </w:lvl>
    <w:lvl w:ilvl="2">
      <w:numFmt w:val="bullet"/>
      <w:lvlText w:val="•"/>
      <w:lvlJc w:val="left"/>
      <w:pPr>
        <w:ind w:left="2633" w:hanging="385"/>
      </w:pPr>
    </w:lvl>
    <w:lvl w:ilvl="3">
      <w:numFmt w:val="bullet"/>
      <w:lvlText w:val="•"/>
      <w:lvlJc w:val="left"/>
      <w:pPr>
        <w:ind w:left="3639" w:hanging="385"/>
      </w:pPr>
    </w:lvl>
    <w:lvl w:ilvl="4">
      <w:numFmt w:val="bullet"/>
      <w:lvlText w:val="•"/>
      <w:lvlJc w:val="left"/>
      <w:pPr>
        <w:ind w:left="4646" w:hanging="385"/>
      </w:pPr>
    </w:lvl>
    <w:lvl w:ilvl="5">
      <w:numFmt w:val="bullet"/>
      <w:lvlText w:val="•"/>
      <w:lvlJc w:val="left"/>
      <w:pPr>
        <w:ind w:left="5653" w:hanging="385"/>
      </w:pPr>
    </w:lvl>
    <w:lvl w:ilvl="6">
      <w:numFmt w:val="bullet"/>
      <w:lvlText w:val="•"/>
      <w:lvlJc w:val="left"/>
      <w:pPr>
        <w:ind w:left="6659" w:hanging="385"/>
      </w:pPr>
    </w:lvl>
    <w:lvl w:ilvl="7">
      <w:numFmt w:val="bullet"/>
      <w:lvlText w:val="•"/>
      <w:lvlJc w:val="left"/>
      <w:pPr>
        <w:ind w:left="7666" w:hanging="385"/>
      </w:pPr>
    </w:lvl>
    <w:lvl w:ilvl="8">
      <w:numFmt w:val="bullet"/>
      <w:lvlText w:val="•"/>
      <w:lvlJc w:val="left"/>
      <w:pPr>
        <w:ind w:left="8673" w:hanging="385"/>
      </w:pPr>
    </w:lvl>
  </w:abstractNum>
  <w:abstractNum w:abstractNumId="3" w15:restartNumberingAfterBreak="0">
    <w:nsid w:val="01DE509F"/>
    <w:multiLevelType w:val="hybridMultilevel"/>
    <w:tmpl w:val="2F34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3295E"/>
    <w:multiLevelType w:val="hybridMultilevel"/>
    <w:tmpl w:val="F59E355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3D4834"/>
    <w:multiLevelType w:val="hybridMultilevel"/>
    <w:tmpl w:val="49DC0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5"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0E0A61"/>
    <w:multiLevelType w:val="hybridMultilevel"/>
    <w:tmpl w:val="C32E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F9634E"/>
    <w:multiLevelType w:val="hybridMultilevel"/>
    <w:tmpl w:val="EB06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8"/>
  </w:num>
  <w:num w:numId="3">
    <w:abstractNumId w:val="10"/>
  </w:num>
  <w:num w:numId="4">
    <w:abstractNumId w:val="29"/>
  </w:num>
  <w:num w:numId="5">
    <w:abstractNumId w:val="24"/>
  </w:num>
  <w:num w:numId="6">
    <w:abstractNumId w:val="42"/>
  </w:num>
  <w:num w:numId="7">
    <w:abstractNumId w:val="27"/>
  </w:num>
  <w:num w:numId="8">
    <w:abstractNumId w:val="22"/>
  </w:num>
  <w:num w:numId="9">
    <w:abstractNumId w:val="40"/>
  </w:num>
  <w:num w:numId="10">
    <w:abstractNumId w:val="44"/>
  </w:num>
  <w:num w:numId="11">
    <w:abstractNumId w:val="28"/>
  </w:num>
  <w:num w:numId="12">
    <w:abstractNumId w:val="33"/>
  </w:num>
  <w:num w:numId="13">
    <w:abstractNumId w:val="17"/>
  </w:num>
  <w:num w:numId="14">
    <w:abstractNumId w:val="39"/>
  </w:num>
  <w:num w:numId="15">
    <w:abstractNumId w:val="38"/>
  </w:num>
  <w:num w:numId="16">
    <w:abstractNumId w:val="5"/>
  </w:num>
  <w:num w:numId="17">
    <w:abstractNumId w:val="8"/>
  </w:num>
  <w:num w:numId="18">
    <w:abstractNumId w:val="45"/>
  </w:num>
  <w:num w:numId="19">
    <w:abstractNumId w:val="18"/>
  </w:num>
  <w:num w:numId="20">
    <w:abstractNumId w:val="25"/>
  </w:num>
  <w:num w:numId="21">
    <w:abstractNumId w:val="13"/>
  </w:num>
  <w:num w:numId="22">
    <w:abstractNumId w:val="41"/>
  </w:num>
  <w:num w:numId="23">
    <w:abstractNumId w:val="19"/>
  </w:num>
  <w:num w:numId="24">
    <w:abstractNumId w:val="43"/>
  </w:num>
  <w:num w:numId="25">
    <w:abstractNumId w:val="36"/>
  </w:num>
  <w:num w:numId="26">
    <w:abstractNumId w:val="14"/>
  </w:num>
  <w:num w:numId="27">
    <w:abstractNumId w:val="46"/>
  </w:num>
  <w:num w:numId="28">
    <w:abstractNumId w:val="47"/>
  </w:num>
  <w:num w:numId="29">
    <w:abstractNumId w:val="31"/>
  </w:num>
  <w:num w:numId="30">
    <w:abstractNumId w:val="20"/>
  </w:num>
  <w:num w:numId="31">
    <w:abstractNumId w:val="12"/>
  </w:num>
  <w:num w:numId="32">
    <w:abstractNumId w:val="0"/>
  </w:num>
  <w:num w:numId="33">
    <w:abstractNumId w:val="26"/>
  </w:num>
  <w:num w:numId="34">
    <w:abstractNumId w:val="6"/>
  </w:num>
  <w:num w:numId="35">
    <w:abstractNumId w:val="34"/>
  </w:num>
  <w:num w:numId="36">
    <w:abstractNumId w:val="11"/>
  </w:num>
  <w:num w:numId="37">
    <w:abstractNumId w:val="16"/>
  </w:num>
  <w:num w:numId="38">
    <w:abstractNumId w:val="15"/>
  </w:num>
  <w:num w:numId="39">
    <w:abstractNumId w:val="7"/>
  </w:num>
  <w:num w:numId="40">
    <w:abstractNumId w:val="37"/>
  </w:num>
  <w:num w:numId="41">
    <w:abstractNumId w:val="9"/>
  </w:num>
  <w:num w:numId="42">
    <w:abstractNumId w:val="30"/>
  </w:num>
  <w:num w:numId="43">
    <w:abstractNumId w:val="4"/>
  </w:num>
  <w:num w:numId="44">
    <w:abstractNumId w:val="21"/>
  </w:num>
  <w:num w:numId="45">
    <w:abstractNumId w:val="32"/>
  </w:num>
  <w:num w:numId="46">
    <w:abstractNumId w:val="2"/>
  </w:num>
  <w:num w:numId="47">
    <w:abstractNumId w:val="3"/>
  </w:num>
  <w:num w:numId="48">
    <w:abstractNumId w:val="35"/>
  </w:num>
  <w:num w:numId="49">
    <w:abstractNumId w:val="49"/>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62E2D"/>
    <w:rsid w:val="00265D84"/>
    <w:rsid w:val="00267073"/>
    <w:rsid w:val="00273FAC"/>
    <w:rsid w:val="0027651F"/>
    <w:rsid w:val="00284B93"/>
    <w:rsid w:val="00286686"/>
    <w:rsid w:val="00296584"/>
    <w:rsid w:val="002B4CC4"/>
    <w:rsid w:val="002B7662"/>
    <w:rsid w:val="002C2DE7"/>
    <w:rsid w:val="00317BFE"/>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6380C"/>
    <w:rsid w:val="00877BBA"/>
    <w:rsid w:val="008D390B"/>
    <w:rsid w:val="008E430C"/>
    <w:rsid w:val="008F6039"/>
    <w:rsid w:val="00934B07"/>
    <w:rsid w:val="009438D6"/>
    <w:rsid w:val="009557D4"/>
    <w:rsid w:val="009741B1"/>
    <w:rsid w:val="0097624E"/>
    <w:rsid w:val="00992ED5"/>
    <w:rsid w:val="009A741C"/>
    <w:rsid w:val="00A0586F"/>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E115C"/>
    <w:rsid w:val="00C007C8"/>
    <w:rsid w:val="00C36210"/>
    <w:rsid w:val="00C41ED9"/>
    <w:rsid w:val="00C54E60"/>
    <w:rsid w:val="00C74767"/>
    <w:rsid w:val="00CD1530"/>
    <w:rsid w:val="00CE2F41"/>
    <w:rsid w:val="00D1149C"/>
    <w:rsid w:val="00D21CDF"/>
    <w:rsid w:val="00D237AE"/>
    <w:rsid w:val="00D26B1F"/>
    <w:rsid w:val="00D27FC8"/>
    <w:rsid w:val="00D6418D"/>
    <w:rsid w:val="00D65C8A"/>
    <w:rsid w:val="00D87564"/>
    <w:rsid w:val="00DE696E"/>
    <w:rsid w:val="00E00A83"/>
    <w:rsid w:val="00E10084"/>
    <w:rsid w:val="00E46D94"/>
    <w:rsid w:val="00E62E0A"/>
    <w:rsid w:val="00EB1A74"/>
    <w:rsid w:val="00EC1698"/>
    <w:rsid w:val="00F020B4"/>
    <w:rsid w:val="00F332A8"/>
    <w:rsid w:val="00F419E5"/>
    <w:rsid w:val="00F91B01"/>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customStyle="1" w:styleId="Default">
    <w:name w:val="Default"/>
    <w:rsid w:val="00D65C8A"/>
    <w:pPr>
      <w:autoSpaceDE w:val="0"/>
      <w:autoSpaceDN w:val="0"/>
      <w:adjustRightInd w:val="0"/>
    </w:pPr>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9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18602-1A35-48D9-861D-496740F8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David Hadler</cp:lastModifiedBy>
  <cp:revision>2</cp:revision>
  <cp:lastPrinted>2018-02-22T15:49:00Z</cp:lastPrinted>
  <dcterms:created xsi:type="dcterms:W3CDTF">2019-04-12T09:55:00Z</dcterms:created>
  <dcterms:modified xsi:type="dcterms:W3CDTF">2019-04-12T09:55:00Z</dcterms:modified>
</cp:coreProperties>
</file>