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rsidTr="000C0840">
        <w:trPr>
          <w:trHeight w:val="406"/>
        </w:trPr>
        <w:tc>
          <w:tcPr>
            <w:tcW w:w="9214" w:type="dxa"/>
            <w:gridSpan w:val="3"/>
            <w:tcBorders>
              <w:bottom w:val="single" w:sz="8" w:space="0" w:color="auto"/>
            </w:tcBorders>
            <w:shd w:val="clear" w:color="auto" w:fill="000000"/>
            <w:vAlign w:val="center"/>
          </w:tcPr>
          <w:p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rsidTr="003D3432">
        <w:trPr>
          <w:trHeight w:val="413"/>
        </w:trPr>
        <w:tc>
          <w:tcPr>
            <w:tcW w:w="4560" w:type="dxa"/>
            <w:tcBorders>
              <w:bottom w:val="single" w:sz="8" w:space="0" w:color="auto"/>
              <w:right w:val="single" w:sz="8" w:space="0" w:color="auto"/>
            </w:tcBorders>
            <w:vAlign w:val="center"/>
          </w:tcPr>
          <w:p w:rsidR="003D3432" w:rsidRPr="003D3432" w:rsidRDefault="00DE696E" w:rsidP="000C0840">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C74AC2">
              <w:rPr>
                <w:rFonts w:cs="Arial"/>
                <w:szCs w:val="22"/>
              </w:rPr>
              <w:t>Estates Cost Manager</w:t>
            </w:r>
          </w:p>
        </w:tc>
        <w:tc>
          <w:tcPr>
            <w:tcW w:w="4654" w:type="dxa"/>
            <w:gridSpan w:val="2"/>
            <w:tcBorders>
              <w:left w:val="single" w:sz="8" w:space="0" w:color="auto"/>
              <w:bottom w:val="single" w:sz="8" w:space="0" w:color="auto"/>
            </w:tcBorders>
            <w:vAlign w:val="center"/>
          </w:tcPr>
          <w:p w:rsidR="00DE696E" w:rsidRPr="00687B6D" w:rsidRDefault="00DE696E" w:rsidP="000C0840">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C74AC2">
              <w:rPr>
                <w:rFonts w:cs="Arial"/>
                <w:szCs w:val="22"/>
              </w:rPr>
              <w:t>Director of Estates and Associate Director of Finance</w:t>
            </w:r>
          </w:p>
        </w:tc>
      </w:tr>
      <w:tr w:rsidR="00DE696E" w:rsidRPr="000C0840" w:rsidTr="003D3432">
        <w:trPr>
          <w:trHeight w:val="438"/>
        </w:trPr>
        <w:tc>
          <w:tcPr>
            <w:tcW w:w="4560" w:type="dxa"/>
            <w:tcBorders>
              <w:top w:val="single" w:sz="8" w:space="0" w:color="auto"/>
              <w:bottom w:val="single" w:sz="8" w:space="0" w:color="auto"/>
              <w:right w:val="single" w:sz="8" w:space="0" w:color="auto"/>
            </w:tcBorders>
            <w:vAlign w:val="center"/>
          </w:tcPr>
          <w:p w:rsidR="00DE696E" w:rsidRPr="003D3432" w:rsidRDefault="00DE696E" w:rsidP="00C74AC2">
            <w:pPr>
              <w:contextualSpacing/>
              <w:rPr>
                <w:rFonts w:cs="Arial"/>
                <w:b/>
                <w:szCs w:val="22"/>
              </w:rPr>
            </w:pPr>
            <w:r w:rsidRPr="003D3432">
              <w:rPr>
                <w:rFonts w:cs="Arial"/>
                <w:b/>
                <w:szCs w:val="22"/>
              </w:rPr>
              <w:t>Contract length</w:t>
            </w:r>
            <w:r w:rsidRPr="003D3432">
              <w:rPr>
                <w:rFonts w:cs="Arial"/>
                <w:szCs w:val="22"/>
              </w:rPr>
              <w:t xml:space="preserve">: </w:t>
            </w:r>
            <w:r w:rsidR="000C0840" w:rsidRPr="003D3432">
              <w:rPr>
                <w:rFonts w:cs="Arial"/>
                <w:szCs w:val="22"/>
              </w:rPr>
              <w:t>Permanent</w:t>
            </w:r>
            <w:r w:rsidR="003D3432">
              <w:rPr>
                <w:rFonts w:cs="Arial"/>
                <w:szCs w:val="22"/>
              </w:rPr>
              <w:t xml:space="preserve"> </w:t>
            </w:r>
          </w:p>
        </w:tc>
        <w:tc>
          <w:tcPr>
            <w:tcW w:w="2528" w:type="dxa"/>
            <w:tcBorders>
              <w:top w:val="single" w:sz="8" w:space="0" w:color="auto"/>
              <w:left w:val="single" w:sz="8" w:space="0" w:color="auto"/>
              <w:bottom w:val="single" w:sz="8" w:space="0" w:color="auto"/>
              <w:right w:val="nil"/>
            </w:tcBorders>
            <w:vAlign w:val="center"/>
          </w:tcPr>
          <w:p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 xml:space="preserve">: </w:t>
            </w:r>
            <w:r w:rsidR="00C74AC2">
              <w:rPr>
                <w:rFonts w:cs="Arial"/>
                <w:szCs w:val="22"/>
              </w:rPr>
              <w:t>35</w:t>
            </w:r>
          </w:p>
        </w:tc>
        <w:tc>
          <w:tcPr>
            <w:tcW w:w="2126" w:type="dxa"/>
            <w:tcBorders>
              <w:top w:val="single" w:sz="8" w:space="0" w:color="auto"/>
              <w:left w:val="nil"/>
              <w:bottom w:val="single" w:sz="8" w:space="0" w:color="auto"/>
            </w:tcBorders>
            <w:vAlign w:val="center"/>
          </w:tcPr>
          <w:p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rsidTr="003D3432">
        <w:trPr>
          <w:trHeight w:val="388"/>
        </w:trPr>
        <w:tc>
          <w:tcPr>
            <w:tcW w:w="4560" w:type="dxa"/>
            <w:tcBorders>
              <w:top w:val="single" w:sz="8" w:space="0" w:color="auto"/>
              <w:bottom w:val="single" w:sz="8" w:space="0" w:color="auto"/>
              <w:righ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Salary</w:t>
            </w:r>
            <w:r w:rsidRPr="003D3432">
              <w:rPr>
                <w:rFonts w:cs="Arial"/>
                <w:szCs w:val="22"/>
              </w:rPr>
              <w:t xml:space="preserve">: </w:t>
            </w:r>
            <w:r w:rsidR="00C74AC2">
              <w:rPr>
                <w:rFonts w:cs="Arial"/>
                <w:szCs w:val="22"/>
              </w:rPr>
              <w:t>£52,073 to £70,230 per annum</w:t>
            </w:r>
          </w:p>
        </w:tc>
        <w:tc>
          <w:tcPr>
            <w:tcW w:w="4654" w:type="dxa"/>
            <w:gridSpan w:val="2"/>
            <w:tcBorders>
              <w:top w:val="single" w:sz="8" w:space="0" w:color="auto"/>
              <w:left w:val="single" w:sz="8" w:space="0" w:color="auto"/>
              <w:bottom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Grade</w:t>
            </w:r>
            <w:r w:rsidRPr="003D3432">
              <w:rPr>
                <w:rFonts w:cs="Arial"/>
                <w:szCs w:val="22"/>
              </w:rPr>
              <w:t xml:space="preserve">:  </w:t>
            </w:r>
            <w:r w:rsidR="00C74AC2">
              <w:rPr>
                <w:rFonts w:cs="Arial"/>
                <w:szCs w:val="22"/>
              </w:rPr>
              <w:t>7</w:t>
            </w:r>
          </w:p>
        </w:tc>
      </w:tr>
      <w:tr w:rsidR="00DE696E" w:rsidRPr="000C0840" w:rsidTr="003D3432">
        <w:trPr>
          <w:trHeight w:val="426"/>
        </w:trPr>
        <w:tc>
          <w:tcPr>
            <w:tcW w:w="4560" w:type="dxa"/>
            <w:tcBorders>
              <w:top w:val="single" w:sz="8" w:space="0" w:color="auto"/>
              <w:right w:val="single" w:sz="8" w:space="0" w:color="auto"/>
            </w:tcBorders>
            <w:vAlign w:val="center"/>
          </w:tcPr>
          <w:p w:rsidR="00DE696E" w:rsidRPr="003D3432" w:rsidRDefault="00DE696E" w:rsidP="003D3432">
            <w:pPr>
              <w:contextualSpacing/>
              <w:rPr>
                <w:rFonts w:cs="Arial"/>
                <w:szCs w:val="22"/>
              </w:rPr>
            </w:pPr>
            <w:r w:rsidRPr="003D3432">
              <w:rPr>
                <w:rFonts w:cs="Arial"/>
                <w:b/>
                <w:bCs/>
                <w:szCs w:val="22"/>
              </w:rPr>
              <w:t>Service</w:t>
            </w:r>
            <w:r w:rsidRPr="003D3432">
              <w:rPr>
                <w:rFonts w:cs="Arial"/>
                <w:szCs w:val="22"/>
              </w:rPr>
              <w:t xml:space="preserve">: </w:t>
            </w:r>
            <w:r w:rsidR="00C74AC2">
              <w:rPr>
                <w:rFonts w:cs="Arial"/>
                <w:szCs w:val="22"/>
              </w:rPr>
              <w:t>Estates</w:t>
            </w:r>
          </w:p>
        </w:tc>
        <w:tc>
          <w:tcPr>
            <w:tcW w:w="4654" w:type="dxa"/>
            <w:gridSpan w:val="2"/>
            <w:tcBorders>
              <w:top w:val="single" w:sz="8" w:space="0" w:color="auto"/>
              <w:lef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 xml:space="preserve">: </w:t>
            </w:r>
            <w:r w:rsidR="00C74AC2">
              <w:rPr>
                <w:rFonts w:cs="Arial"/>
                <w:szCs w:val="22"/>
              </w:rPr>
              <w:t>Central Saint Martins</w:t>
            </w:r>
          </w:p>
        </w:tc>
      </w:tr>
      <w:tr w:rsidR="003D3432" w:rsidRPr="00C007C8" w:rsidTr="000C0840">
        <w:tc>
          <w:tcPr>
            <w:tcW w:w="9214" w:type="dxa"/>
            <w:gridSpan w:val="3"/>
          </w:tcPr>
          <w:p w:rsidR="003D3432" w:rsidRDefault="001C6D22" w:rsidP="000B4B43">
            <w:pPr>
              <w:spacing w:before="120" w:after="120"/>
              <w:rPr>
                <w:b/>
              </w:rPr>
            </w:pPr>
            <w:r>
              <w:rPr>
                <w:b/>
              </w:rPr>
              <w:t>Who are</w:t>
            </w:r>
            <w:r w:rsidR="00C74AC2">
              <w:rPr>
                <w:b/>
              </w:rPr>
              <w:t xml:space="preserve"> we</w:t>
            </w:r>
            <w:r w:rsidR="003D3432">
              <w:rPr>
                <w:b/>
              </w:rPr>
              <w:t>?</w:t>
            </w:r>
          </w:p>
          <w:p w:rsidR="00C74AC2" w:rsidRDefault="00C74AC2" w:rsidP="00C74AC2">
            <w:pPr>
              <w:spacing w:before="120" w:after="120"/>
            </w:pPr>
            <w:r>
              <w:t>UAL is a world Top 6 university for art and design according to the QS World University Rankings® and Europe’s largest specialist university for art and design.</w:t>
            </w:r>
          </w:p>
          <w:p w:rsidR="00C74AC2" w:rsidRDefault="00C74AC2" w:rsidP="00C74AC2">
            <w:pPr>
              <w:spacing w:before="120" w:after="120"/>
            </w:pPr>
            <w:r>
              <w:t>One of UAL’s key goals is to provide an inspirational environment. This strategic ambition requires the University to have a world-class physical environment and underlying infrastructure that support our students and staff in their academic ambitions and increases our engagement with our wider communities. We will do this by delivering sustainable new environments, with an emphasis on delivering new academic buildings wherever existing facilities are not consistent with our ambitions.</w:t>
            </w:r>
          </w:p>
          <w:p w:rsidR="00C74AC2" w:rsidRDefault="00C74AC2" w:rsidP="00C74AC2">
            <w:pPr>
              <w:spacing w:before="120" w:after="120"/>
            </w:pPr>
            <w:r>
              <w:t xml:space="preserve">This strategic ambition is being realised with capital investment across the 170,000 </w:t>
            </w:r>
            <w:proofErr w:type="spellStart"/>
            <w:r>
              <w:t>sqm</w:t>
            </w:r>
            <w:proofErr w:type="spellEnd"/>
            <w:r>
              <w:t xml:space="preserve"> estate across 16 locations. Significant projects include new and enhanced academic buildings for London College of Communication, London College of Fashion, Wimbledon College of Arts and Camberwell College of Arts. We are also developing our portfolio of UAL owned halls of residence.</w:t>
            </w:r>
          </w:p>
          <w:p w:rsidR="003D3432" w:rsidRPr="003D3432" w:rsidRDefault="00C74AC2" w:rsidP="00C74AC2">
            <w:pPr>
              <w:spacing w:before="120" w:after="120"/>
            </w:pPr>
            <w:r>
              <w:t>This major transformational change is exciting and challenging and the role is pivotal in ensuring the University has robust financial measures in place to anticipate and manage risks and ensure value for money.</w:t>
            </w:r>
          </w:p>
        </w:tc>
      </w:tr>
      <w:tr w:rsidR="00594C01" w:rsidRPr="00C007C8" w:rsidTr="000C0840">
        <w:tc>
          <w:tcPr>
            <w:tcW w:w="9214" w:type="dxa"/>
            <w:gridSpan w:val="3"/>
          </w:tcPr>
          <w:p w:rsidR="00594C01" w:rsidRPr="003D3432" w:rsidRDefault="003D3432" w:rsidP="000B4B43">
            <w:pPr>
              <w:spacing w:before="120" w:after="120"/>
              <w:rPr>
                <w:b/>
              </w:rPr>
            </w:pPr>
            <w:r>
              <w:rPr>
                <w:b/>
              </w:rPr>
              <w:t>What is the purpose of the role?</w:t>
            </w:r>
          </w:p>
          <w:p w:rsidR="00C74AC2" w:rsidRDefault="00C74AC2" w:rsidP="00C74AC2">
            <w:pPr>
              <w:pStyle w:val="Pa7"/>
              <w:rPr>
                <w:rStyle w:val="A3"/>
                <w:sz w:val="22"/>
                <w:szCs w:val="22"/>
              </w:rPr>
            </w:pPr>
            <w:r w:rsidRPr="00C74AC2">
              <w:rPr>
                <w:rStyle w:val="A3"/>
                <w:sz w:val="22"/>
                <w:szCs w:val="22"/>
              </w:rPr>
              <w:t>Reporting to the Director of Estates and Associate Director of Finance, you will provide strategic and commercial leadership on all cost management, programme, and contractual matters within the estates directorate. You will provide a professional support service to the Estates Senior Management Team in the delivery of its services related to all business units across the estates department including the capital projects delivery and facilities management operations. You will also provide a governance link to the finance team in auditing the work of other cost professionals on large and major projects.</w:t>
            </w:r>
          </w:p>
          <w:p w:rsidR="00C74AC2" w:rsidRPr="00C74AC2" w:rsidRDefault="00C74AC2" w:rsidP="00C74AC2"/>
          <w:p w:rsidR="00C74AC2" w:rsidRDefault="00C74AC2" w:rsidP="00C74AC2">
            <w:pPr>
              <w:pStyle w:val="Pa7"/>
              <w:rPr>
                <w:rStyle w:val="A3"/>
                <w:sz w:val="22"/>
                <w:szCs w:val="22"/>
              </w:rPr>
            </w:pPr>
            <w:r w:rsidRPr="00C74AC2">
              <w:rPr>
                <w:rStyle w:val="A3"/>
                <w:sz w:val="22"/>
                <w:szCs w:val="22"/>
              </w:rPr>
              <w:t xml:space="preserve">You will be the cost and commercial professional for Estates activities across the entirety of the UAL estate portfolio, with oversight of all contractual and financial aspects of project and service delivery – budgeting, forecasting, cost control reporting and supply chain management. </w:t>
            </w:r>
          </w:p>
          <w:p w:rsidR="00C74AC2" w:rsidRPr="00C74AC2" w:rsidRDefault="00C74AC2" w:rsidP="00C74AC2"/>
          <w:p w:rsidR="00C74AC2" w:rsidRDefault="00C74AC2" w:rsidP="00C74AC2">
            <w:pPr>
              <w:pStyle w:val="ListBullet"/>
              <w:numPr>
                <w:ilvl w:val="0"/>
                <w:numId w:val="0"/>
              </w:numPr>
              <w:rPr>
                <w:color w:val="211D1E"/>
                <w:szCs w:val="22"/>
              </w:rPr>
            </w:pPr>
            <w:r w:rsidRPr="00C74AC2">
              <w:rPr>
                <w:color w:val="211D1E"/>
                <w:szCs w:val="22"/>
              </w:rPr>
              <w:t xml:space="preserve">With a capital development of up to £500m over the next 6 years and an annual revenue expenditure of £25m per annum the post holder will play a vital role in ensuring that the forecasting and management of costs and expenditure is exemplary and that the procurement methods deployed provide maximum value and are appropriate. </w:t>
            </w:r>
          </w:p>
          <w:p w:rsidR="00C74AC2" w:rsidRDefault="00C74AC2" w:rsidP="00C74AC2">
            <w:pPr>
              <w:pStyle w:val="ListBullet"/>
              <w:numPr>
                <w:ilvl w:val="0"/>
                <w:numId w:val="0"/>
              </w:numPr>
              <w:rPr>
                <w:color w:val="211D1E"/>
                <w:szCs w:val="22"/>
              </w:rPr>
            </w:pPr>
          </w:p>
          <w:p w:rsidR="00273FAC" w:rsidRPr="00C74AC2" w:rsidRDefault="00C74AC2" w:rsidP="00C74AC2">
            <w:pPr>
              <w:pStyle w:val="ListBullet"/>
              <w:numPr>
                <w:ilvl w:val="0"/>
                <w:numId w:val="0"/>
              </w:numPr>
              <w:rPr>
                <w:szCs w:val="22"/>
              </w:rPr>
            </w:pPr>
            <w:r w:rsidRPr="00C74AC2">
              <w:rPr>
                <w:color w:val="211D1E"/>
                <w:szCs w:val="22"/>
              </w:rPr>
              <w:t>The post holder will work collaboratively with the wider team playing a lead role in strategic financial forecasting and the analysis of procurement strategies. The role will require sensitive and collaborative leadership, working closely with stakeholders, to effectively establish, manage and maintain positive working relationships, both internally and externally, to achieve the UAL vision.</w:t>
            </w:r>
          </w:p>
          <w:p w:rsidR="001C6D22" w:rsidRPr="003D3432" w:rsidRDefault="001C6D22" w:rsidP="003D3432">
            <w:pPr>
              <w:pStyle w:val="ListBullet"/>
              <w:numPr>
                <w:ilvl w:val="0"/>
                <w:numId w:val="0"/>
              </w:numPr>
            </w:pPr>
          </w:p>
        </w:tc>
      </w:tr>
      <w:tr w:rsidR="00594C01" w:rsidRPr="00C007C8" w:rsidTr="000C0840">
        <w:tc>
          <w:tcPr>
            <w:tcW w:w="9214" w:type="dxa"/>
            <w:gridSpan w:val="3"/>
          </w:tcPr>
          <w:p w:rsidR="00594C01" w:rsidRDefault="00594C01" w:rsidP="000B4B43">
            <w:pPr>
              <w:spacing w:before="120" w:after="120"/>
              <w:rPr>
                <w:b/>
              </w:rPr>
            </w:pPr>
            <w:r w:rsidRPr="003D3432">
              <w:rPr>
                <w:b/>
              </w:rPr>
              <w:lastRenderedPageBreak/>
              <w:t>Duties and Responsibilities</w:t>
            </w:r>
          </w:p>
          <w:p w:rsidR="00C74AC2" w:rsidRPr="00C74AC2" w:rsidRDefault="00C74AC2" w:rsidP="00C74AC2">
            <w:pPr>
              <w:spacing w:after="120"/>
              <w:rPr>
                <w:b/>
              </w:rPr>
            </w:pPr>
            <w:r w:rsidRPr="00C74AC2">
              <w:rPr>
                <w:b/>
              </w:rPr>
              <w:t>Strategic Leadership</w:t>
            </w:r>
          </w:p>
          <w:p w:rsidR="00C74AC2" w:rsidRPr="00C74AC2" w:rsidRDefault="00C74AC2" w:rsidP="00C74AC2">
            <w:pPr>
              <w:spacing w:after="120"/>
              <w:ind w:left="-84" w:firstLine="84"/>
            </w:pPr>
            <w:r w:rsidRPr="00C74AC2">
              <w:t>•</w:t>
            </w:r>
            <w:r w:rsidR="00D11E19">
              <w:t xml:space="preserve">     </w:t>
            </w:r>
            <w:r w:rsidRPr="00C74AC2">
              <w:t>Support the Director of Estates and Estates Senior Management Team in developing and</w:t>
            </w:r>
          </w:p>
          <w:p w:rsidR="00C74AC2" w:rsidRPr="00C74AC2" w:rsidRDefault="00D11E19" w:rsidP="00C74AC2">
            <w:pPr>
              <w:spacing w:after="120"/>
            </w:pPr>
            <w:r>
              <w:t xml:space="preserve">       </w:t>
            </w:r>
            <w:r w:rsidR="00C74AC2" w:rsidRPr="00C74AC2">
              <w:t>executing effective strategies and plans setting out how programmes of works and services</w:t>
            </w:r>
          </w:p>
          <w:p w:rsidR="00C74AC2" w:rsidRPr="00C74AC2" w:rsidRDefault="00D11E19" w:rsidP="00C74AC2">
            <w:pPr>
              <w:spacing w:after="120"/>
            </w:pPr>
            <w:r>
              <w:t xml:space="preserve">       </w:t>
            </w:r>
            <w:proofErr w:type="gramStart"/>
            <w:r w:rsidR="00C74AC2" w:rsidRPr="00C74AC2">
              <w:t>will</w:t>
            </w:r>
            <w:proofErr w:type="gramEnd"/>
            <w:r w:rsidR="00C74AC2" w:rsidRPr="00C74AC2">
              <w:t xml:space="preserve"> be organised and managed in respect of financial management and procurement matters.</w:t>
            </w:r>
          </w:p>
          <w:p w:rsidR="00C74AC2" w:rsidRPr="00C74AC2" w:rsidRDefault="00C74AC2" w:rsidP="003F23FB">
            <w:pPr>
              <w:pStyle w:val="ListParagraph"/>
              <w:numPr>
                <w:ilvl w:val="0"/>
                <w:numId w:val="10"/>
              </w:numPr>
              <w:spacing w:after="120"/>
              <w:ind w:left="342"/>
            </w:pPr>
            <w:r w:rsidRPr="00C74AC2">
              <w:t>Monitor and advise on investment drivers and market conditions</w:t>
            </w:r>
          </w:p>
          <w:p w:rsidR="00C74AC2" w:rsidRPr="00C74AC2" w:rsidRDefault="00C74AC2" w:rsidP="00C74AC2">
            <w:pPr>
              <w:spacing w:after="120"/>
            </w:pPr>
            <w:r w:rsidRPr="00C74AC2">
              <w:t xml:space="preserve">• </w:t>
            </w:r>
            <w:r w:rsidR="00D11E19">
              <w:t xml:space="preserve">    </w:t>
            </w:r>
            <w:r w:rsidRPr="00C74AC2">
              <w:t>Prepare and submit as required reports , inter alia, to meet the requirements of governance/</w:t>
            </w:r>
          </w:p>
          <w:p w:rsidR="00C74AC2" w:rsidRPr="00C74AC2" w:rsidRDefault="00D11E19" w:rsidP="00C74AC2">
            <w:pPr>
              <w:spacing w:after="120"/>
            </w:pPr>
            <w:r>
              <w:t xml:space="preserve">       </w:t>
            </w:r>
            <w:r w:rsidR="00C74AC2" w:rsidRPr="00C74AC2">
              <w:t>committee procedures, financial regulations etc. working closely with the Finance and</w:t>
            </w:r>
          </w:p>
          <w:p w:rsidR="00C74AC2" w:rsidRPr="00C74AC2" w:rsidRDefault="00D11E19" w:rsidP="00C74AC2">
            <w:pPr>
              <w:spacing w:after="120"/>
            </w:pPr>
            <w:r>
              <w:t xml:space="preserve">       </w:t>
            </w:r>
            <w:r w:rsidR="00C74AC2" w:rsidRPr="00C74AC2">
              <w:t>Procurement teams, internal and external auditors and wider partners for consistent project/</w:t>
            </w:r>
          </w:p>
          <w:p w:rsidR="00C74AC2" w:rsidRDefault="00D11E19" w:rsidP="00C74AC2">
            <w:pPr>
              <w:spacing w:after="120"/>
            </w:pPr>
            <w:r>
              <w:t xml:space="preserve">       </w:t>
            </w:r>
            <w:proofErr w:type="gramStart"/>
            <w:r w:rsidR="00C74AC2" w:rsidRPr="00C74AC2">
              <w:t>programming</w:t>
            </w:r>
            <w:proofErr w:type="gramEnd"/>
            <w:r w:rsidR="00C74AC2" w:rsidRPr="00C74AC2">
              <w:t xml:space="preserve"> reporting. Present to these bodies as required.</w:t>
            </w:r>
          </w:p>
          <w:p w:rsidR="00C74AC2" w:rsidRPr="00D11E19" w:rsidRDefault="00C74AC2" w:rsidP="00C74AC2">
            <w:pPr>
              <w:pStyle w:val="Pa5"/>
              <w:spacing w:after="200"/>
              <w:rPr>
                <w:rFonts w:cs="Calibri"/>
                <w:color w:val="211D1E"/>
                <w:sz w:val="22"/>
                <w:szCs w:val="22"/>
              </w:rPr>
            </w:pPr>
            <w:r w:rsidRPr="00D11E19">
              <w:rPr>
                <w:rStyle w:val="A3"/>
                <w:b/>
                <w:bCs/>
                <w:sz w:val="22"/>
                <w:szCs w:val="22"/>
              </w:rPr>
              <w:t xml:space="preserve">Programme and Project Management </w:t>
            </w:r>
          </w:p>
          <w:p w:rsidR="00C74AC2" w:rsidRPr="00C74AC2" w:rsidRDefault="00C74AC2" w:rsidP="003F23FB">
            <w:pPr>
              <w:pStyle w:val="Pa5"/>
              <w:numPr>
                <w:ilvl w:val="0"/>
                <w:numId w:val="2"/>
              </w:numPr>
              <w:spacing w:after="200"/>
              <w:ind w:left="342"/>
              <w:rPr>
                <w:rFonts w:cs="Calibri"/>
                <w:color w:val="211D1E"/>
                <w:sz w:val="22"/>
                <w:szCs w:val="22"/>
              </w:rPr>
            </w:pPr>
            <w:r w:rsidRPr="00C74AC2">
              <w:rPr>
                <w:rStyle w:val="A3"/>
                <w:sz w:val="22"/>
                <w:szCs w:val="22"/>
              </w:rPr>
              <w:t xml:space="preserve">Working closely with individual Project Managers and Project Directors, ensuring accurate and reliable commercial and cost management considerations are included in early project documentation including feasibility studies, business cases, and project execution plans. </w:t>
            </w:r>
          </w:p>
          <w:p w:rsidR="00C74AC2" w:rsidRPr="00C74AC2" w:rsidRDefault="00C74AC2" w:rsidP="003F23FB">
            <w:pPr>
              <w:pStyle w:val="Pa5"/>
              <w:numPr>
                <w:ilvl w:val="0"/>
                <w:numId w:val="2"/>
              </w:numPr>
              <w:spacing w:after="200"/>
              <w:ind w:left="342"/>
              <w:rPr>
                <w:rFonts w:cs="Calibri"/>
                <w:color w:val="211D1E"/>
                <w:sz w:val="22"/>
                <w:szCs w:val="22"/>
              </w:rPr>
            </w:pPr>
            <w:r w:rsidRPr="00C74AC2">
              <w:rPr>
                <w:rStyle w:val="A3"/>
                <w:sz w:val="22"/>
                <w:szCs w:val="22"/>
              </w:rPr>
              <w:t xml:space="preserve">Provide support to project and programme managers in preparing and monitoring cash flow forecasts, ensuring that the systems for management of change are robust and assist in settlement of final accounts. </w:t>
            </w:r>
          </w:p>
          <w:p w:rsidR="00C74AC2" w:rsidRPr="00C74AC2" w:rsidRDefault="00C74AC2" w:rsidP="00C74AC2">
            <w:pPr>
              <w:pStyle w:val="Pa5"/>
              <w:spacing w:after="200"/>
              <w:rPr>
                <w:rFonts w:cs="Calibri"/>
                <w:color w:val="211D1E"/>
                <w:sz w:val="22"/>
                <w:szCs w:val="22"/>
              </w:rPr>
            </w:pPr>
            <w:r w:rsidRPr="00C74AC2">
              <w:rPr>
                <w:rStyle w:val="A3"/>
                <w:b/>
                <w:bCs/>
                <w:sz w:val="22"/>
                <w:szCs w:val="22"/>
              </w:rPr>
              <w:t xml:space="preserve">Financial Governance </w:t>
            </w:r>
          </w:p>
          <w:p w:rsidR="00C74AC2" w:rsidRPr="00C74AC2" w:rsidRDefault="00C74AC2" w:rsidP="003F23FB">
            <w:pPr>
              <w:pStyle w:val="Pa5"/>
              <w:numPr>
                <w:ilvl w:val="0"/>
                <w:numId w:val="3"/>
              </w:numPr>
              <w:spacing w:after="200"/>
              <w:ind w:left="342"/>
              <w:rPr>
                <w:rFonts w:cs="Calibri"/>
                <w:color w:val="211D1E"/>
                <w:sz w:val="22"/>
                <w:szCs w:val="22"/>
              </w:rPr>
            </w:pPr>
            <w:r w:rsidRPr="00C74AC2">
              <w:rPr>
                <w:rStyle w:val="A3"/>
                <w:sz w:val="22"/>
                <w:szCs w:val="22"/>
              </w:rPr>
              <w:t>Act as ‘Client Monitor’ on large and Major Projects by auditing and challenging cost reports presented by external QS practices. Presentation of findings direct to the Associate Director of Finance</w:t>
            </w:r>
          </w:p>
          <w:p w:rsidR="00C74AC2" w:rsidRPr="00C74AC2" w:rsidRDefault="00C74AC2" w:rsidP="00C74AC2">
            <w:pPr>
              <w:pStyle w:val="Pa5"/>
              <w:spacing w:after="200"/>
              <w:rPr>
                <w:rFonts w:cs="Calibri"/>
                <w:color w:val="211D1E"/>
                <w:sz w:val="22"/>
                <w:szCs w:val="22"/>
              </w:rPr>
            </w:pPr>
            <w:r w:rsidRPr="00C74AC2">
              <w:rPr>
                <w:rStyle w:val="A3"/>
                <w:b/>
                <w:bCs/>
                <w:sz w:val="22"/>
                <w:szCs w:val="22"/>
              </w:rPr>
              <w:t>Financial Control</w:t>
            </w:r>
          </w:p>
          <w:p w:rsidR="00C74AC2" w:rsidRPr="00C74AC2" w:rsidRDefault="00C74AC2" w:rsidP="003F23FB">
            <w:pPr>
              <w:pStyle w:val="Pa5"/>
              <w:numPr>
                <w:ilvl w:val="0"/>
                <w:numId w:val="4"/>
              </w:numPr>
              <w:spacing w:after="200"/>
              <w:ind w:left="342"/>
              <w:rPr>
                <w:rFonts w:cs="Calibri"/>
                <w:color w:val="211D1E"/>
                <w:sz w:val="22"/>
                <w:szCs w:val="22"/>
              </w:rPr>
            </w:pPr>
            <w:r w:rsidRPr="00C74AC2">
              <w:rPr>
                <w:rStyle w:val="A3"/>
                <w:sz w:val="22"/>
                <w:szCs w:val="22"/>
              </w:rPr>
              <w:t>Ensure that robust systems are in place and monitor project and contract costs ensuring that value for money is achieved including life cycle analysis and that projects and services are being delivered within approved budgets. Working in close collaboration with the Lead Accountant for Estates in preparation and management of estates annual budget forecasting and funding requests.</w:t>
            </w:r>
          </w:p>
          <w:p w:rsidR="00C74AC2" w:rsidRPr="00C74AC2" w:rsidRDefault="00C74AC2" w:rsidP="003F23FB">
            <w:pPr>
              <w:pStyle w:val="Pa5"/>
              <w:numPr>
                <w:ilvl w:val="0"/>
                <w:numId w:val="4"/>
              </w:numPr>
              <w:spacing w:after="200"/>
              <w:ind w:left="342"/>
              <w:rPr>
                <w:rFonts w:cs="Calibri"/>
                <w:color w:val="211D1E"/>
                <w:sz w:val="22"/>
                <w:szCs w:val="22"/>
              </w:rPr>
            </w:pPr>
            <w:r w:rsidRPr="00C74AC2">
              <w:rPr>
                <w:rStyle w:val="A3"/>
                <w:sz w:val="22"/>
                <w:szCs w:val="22"/>
              </w:rPr>
              <w:t xml:space="preserve">Preparation of estimates and cost plans for planned and actual projects along with building and maintaining a project cost library. </w:t>
            </w:r>
          </w:p>
          <w:p w:rsidR="00C74AC2" w:rsidRPr="00C74AC2" w:rsidRDefault="00C74AC2" w:rsidP="00C74AC2">
            <w:pPr>
              <w:pStyle w:val="Pa5"/>
              <w:spacing w:after="200"/>
              <w:rPr>
                <w:rFonts w:cs="Calibri"/>
                <w:color w:val="211D1E"/>
                <w:sz w:val="22"/>
                <w:szCs w:val="22"/>
              </w:rPr>
            </w:pPr>
            <w:r w:rsidRPr="00C74AC2">
              <w:rPr>
                <w:rStyle w:val="A3"/>
                <w:b/>
                <w:bCs/>
                <w:sz w:val="22"/>
                <w:szCs w:val="22"/>
              </w:rPr>
              <w:t xml:space="preserve">Procurement </w:t>
            </w:r>
          </w:p>
          <w:p w:rsidR="00C74AC2" w:rsidRPr="00C74AC2" w:rsidRDefault="00C74AC2" w:rsidP="003F23FB">
            <w:pPr>
              <w:pStyle w:val="Pa5"/>
              <w:numPr>
                <w:ilvl w:val="0"/>
                <w:numId w:val="5"/>
              </w:numPr>
              <w:spacing w:after="200"/>
              <w:ind w:left="342"/>
              <w:rPr>
                <w:rFonts w:cs="Calibri"/>
                <w:color w:val="211D1E"/>
                <w:sz w:val="22"/>
                <w:szCs w:val="22"/>
              </w:rPr>
            </w:pPr>
            <w:r w:rsidRPr="00C74AC2">
              <w:rPr>
                <w:rStyle w:val="A3"/>
                <w:sz w:val="22"/>
                <w:szCs w:val="22"/>
              </w:rPr>
              <w:t xml:space="preserve">Act as the primary intermediary between the estates department and the university central procurement team. </w:t>
            </w:r>
          </w:p>
          <w:p w:rsidR="00C74AC2" w:rsidRPr="00C74AC2" w:rsidRDefault="00C74AC2" w:rsidP="003F23FB">
            <w:pPr>
              <w:pStyle w:val="Pa5"/>
              <w:numPr>
                <w:ilvl w:val="0"/>
                <w:numId w:val="5"/>
              </w:numPr>
              <w:spacing w:after="200"/>
              <w:ind w:left="342" w:hanging="342"/>
              <w:rPr>
                <w:rFonts w:cs="Calibri"/>
                <w:color w:val="211D1E"/>
                <w:sz w:val="22"/>
                <w:szCs w:val="22"/>
              </w:rPr>
            </w:pPr>
            <w:r w:rsidRPr="00C74AC2">
              <w:rPr>
                <w:rStyle w:val="A3"/>
                <w:sz w:val="22"/>
                <w:szCs w:val="22"/>
              </w:rPr>
              <w:t>Contribute to the development of strategy for efficient and effective delivery of capital programmes/projects, including consultant and contractor procurement, forms of engagement, management of risk, contingencies, best value and cost planning.</w:t>
            </w:r>
          </w:p>
          <w:p w:rsidR="00C74AC2" w:rsidRPr="00C74AC2" w:rsidRDefault="00C74AC2" w:rsidP="003F23FB">
            <w:pPr>
              <w:pStyle w:val="Pa5"/>
              <w:numPr>
                <w:ilvl w:val="0"/>
                <w:numId w:val="5"/>
              </w:numPr>
              <w:spacing w:after="200"/>
              <w:ind w:left="342" w:hanging="342"/>
              <w:rPr>
                <w:rFonts w:cs="Calibri"/>
                <w:color w:val="211D1E"/>
                <w:sz w:val="22"/>
                <w:szCs w:val="22"/>
              </w:rPr>
            </w:pPr>
            <w:r w:rsidRPr="00C74AC2">
              <w:rPr>
                <w:rStyle w:val="A3"/>
                <w:sz w:val="22"/>
                <w:szCs w:val="22"/>
              </w:rPr>
              <w:t xml:space="preserve">Lead on contract advice (type, version, standard clauses </w:t>
            </w:r>
            <w:proofErr w:type="spellStart"/>
            <w:r w:rsidRPr="00C74AC2">
              <w:rPr>
                <w:rStyle w:val="A3"/>
                <w:sz w:val="22"/>
                <w:szCs w:val="22"/>
              </w:rPr>
              <w:t>etc</w:t>
            </w:r>
            <w:proofErr w:type="spellEnd"/>
            <w:r w:rsidRPr="00C74AC2">
              <w:rPr>
                <w:rStyle w:val="A3"/>
                <w:sz w:val="22"/>
                <w:szCs w:val="22"/>
              </w:rPr>
              <w:t>). Work with other departments (Finance, Procurement and Legal) internal and external to develop standards and Frameworks (e.g. General Conditions &amp; Prelims, standard contract clauses, cost reporting formats for external QS’s).</w:t>
            </w:r>
          </w:p>
          <w:p w:rsidR="00C74AC2" w:rsidRPr="00C74AC2" w:rsidRDefault="00C74AC2" w:rsidP="003F23FB">
            <w:pPr>
              <w:pStyle w:val="Pa5"/>
              <w:numPr>
                <w:ilvl w:val="0"/>
                <w:numId w:val="5"/>
              </w:numPr>
              <w:spacing w:after="200"/>
              <w:ind w:left="342" w:hanging="342"/>
              <w:rPr>
                <w:rFonts w:cs="Calibri"/>
                <w:color w:val="211D1E"/>
                <w:sz w:val="22"/>
                <w:szCs w:val="22"/>
              </w:rPr>
            </w:pPr>
            <w:r w:rsidRPr="00C74AC2">
              <w:rPr>
                <w:rStyle w:val="A3"/>
                <w:sz w:val="22"/>
                <w:szCs w:val="22"/>
              </w:rPr>
              <w:lastRenderedPageBreak/>
              <w:t xml:space="preserve">Assist project managers and service leads in the preparation of tender documentation required to support the adopted procurement strategy, including market engagement, invitations to tender, tender evaluations and contract awards. Prepare tender reports as necessary to support the individual project managers/service leads in demonstrating that procurement process and tender award demonstrated the best value for the university. </w:t>
            </w:r>
          </w:p>
          <w:p w:rsidR="00C74AC2" w:rsidRPr="00C74AC2" w:rsidRDefault="00C74AC2" w:rsidP="003F23FB">
            <w:pPr>
              <w:pStyle w:val="Pa5"/>
              <w:numPr>
                <w:ilvl w:val="0"/>
                <w:numId w:val="6"/>
              </w:numPr>
              <w:spacing w:after="200"/>
              <w:ind w:left="342"/>
              <w:rPr>
                <w:rFonts w:cs="Calibri"/>
                <w:color w:val="211D1E"/>
                <w:sz w:val="22"/>
                <w:szCs w:val="22"/>
              </w:rPr>
            </w:pPr>
            <w:r w:rsidRPr="00C74AC2">
              <w:rPr>
                <w:rStyle w:val="A3"/>
                <w:sz w:val="22"/>
                <w:szCs w:val="22"/>
              </w:rPr>
              <w:t>Ensure a consistent approach to capital project and estates services delivery, including the management of framework contractors and consultants and reporting of supplier performance. Develop and proactively manage suppliers as an integral part of the Estates delivery team.</w:t>
            </w:r>
          </w:p>
          <w:p w:rsidR="00C74AC2" w:rsidRPr="00C74AC2" w:rsidRDefault="00C74AC2" w:rsidP="00C74AC2">
            <w:pPr>
              <w:spacing w:after="120"/>
              <w:rPr>
                <w:b/>
                <w:bCs/>
                <w:color w:val="211D1E"/>
                <w:szCs w:val="22"/>
              </w:rPr>
            </w:pPr>
            <w:r w:rsidRPr="00C74AC2">
              <w:rPr>
                <w:b/>
                <w:bCs/>
                <w:color w:val="211D1E"/>
                <w:szCs w:val="22"/>
              </w:rPr>
              <w:t xml:space="preserve">Other Conditions </w:t>
            </w:r>
          </w:p>
          <w:p w:rsidR="00C74AC2" w:rsidRPr="00C74AC2" w:rsidRDefault="00C74AC2" w:rsidP="00C74AC2">
            <w:pPr>
              <w:spacing w:after="120"/>
              <w:rPr>
                <w:color w:val="211D1E"/>
                <w:szCs w:val="22"/>
              </w:rPr>
            </w:pPr>
            <w:r w:rsidRPr="00C74AC2">
              <w:rPr>
                <w:color w:val="211D1E"/>
                <w:szCs w:val="22"/>
              </w:rPr>
              <w:t xml:space="preserve">As a senior member of the University the following applies: </w:t>
            </w:r>
          </w:p>
          <w:p w:rsidR="00C74AC2" w:rsidRPr="00D11E19" w:rsidRDefault="00C74AC2" w:rsidP="003F23FB">
            <w:pPr>
              <w:pStyle w:val="ListParagraph"/>
              <w:numPr>
                <w:ilvl w:val="0"/>
                <w:numId w:val="8"/>
              </w:numPr>
              <w:spacing w:after="120"/>
              <w:ind w:left="342"/>
              <w:rPr>
                <w:color w:val="211D1E"/>
                <w:szCs w:val="22"/>
              </w:rPr>
            </w:pPr>
            <w:r w:rsidRPr="00D11E19">
              <w:rPr>
                <w:color w:val="211D1E"/>
                <w:szCs w:val="22"/>
              </w:rPr>
              <w:t xml:space="preserve">You are expected to work such hours as are reasonably necessary to fulfil the duties and responsibilities of the role. </w:t>
            </w:r>
          </w:p>
          <w:p w:rsidR="00C74AC2" w:rsidRPr="00D11E19" w:rsidRDefault="00C74AC2" w:rsidP="003F23FB">
            <w:pPr>
              <w:pStyle w:val="ListParagraph"/>
              <w:numPr>
                <w:ilvl w:val="0"/>
                <w:numId w:val="7"/>
              </w:numPr>
              <w:spacing w:after="120"/>
              <w:ind w:left="342"/>
              <w:rPr>
                <w:szCs w:val="22"/>
              </w:rPr>
            </w:pPr>
            <w:r w:rsidRPr="00D11E19">
              <w:rPr>
                <w:color w:val="211D1E"/>
                <w:szCs w:val="22"/>
              </w:rPr>
              <w:t>You may be required to regularly travel to other sites as necessary.</w:t>
            </w:r>
          </w:p>
          <w:p w:rsidR="00DE696E" w:rsidRPr="00C74AC2" w:rsidRDefault="00DE696E" w:rsidP="000B4B43">
            <w:pPr>
              <w:spacing w:after="120"/>
              <w:rPr>
                <w:b/>
              </w:rPr>
            </w:pPr>
            <w:r w:rsidRPr="00C74AC2">
              <w:rPr>
                <w:b/>
              </w:rPr>
              <w:t xml:space="preserve">General </w:t>
            </w:r>
          </w:p>
          <w:p w:rsidR="00DE696E" w:rsidRPr="003D3432" w:rsidRDefault="00DE696E" w:rsidP="003F23FB">
            <w:pPr>
              <w:pStyle w:val="ListParagraph"/>
              <w:numPr>
                <w:ilvl w:val="0"/>
                <w:numId w:val="9"/>
              </w:numPr>
            </w:pPr>
            <w:r w:rsidRPr="003D3432">
              <w:t xml:space="preserve">Assume other reasonable duties consistent with your role, as determined </w:t>
            </w:r>
            <w:r w:rsidR="003D3432">
              <w:t>xxx</w:t>
            </w:r>
            <w:r w:rsidRPr="003D3432">
              <w:t>, which may be assigned to you anywhere within the University.</w:t>
            </w:r>
          </w:p>
          <w:p w:rsidR="00DE696E" w:rsidRPr="003D3432" w:rsidRDefault="00DE696E" w:rsidP="003F23FB">
            <w:pPr>
              <w:pStyle w:val="ListParagraph"/>
              <w:numPr>
                <w:ilvl w:val="0"/>
                <w:numId w:val="9"/>
              </w:numPr>
            </w:pPr>
            <w:r w:rsidRPr="003D3432">
              <w:t>Undertake health and safety duties and responsibilities appropriate to the role.</w:t>
            </w:r>
          </w:p>
          <w:p w:rsidR="00DE696E" w:rsidRPr="003D3432" w:rsidRDefault="00DE696E" w:rsidP="003F23FB">
            <w:pPr>
              <w:pStyle w:val="ListParagraph"/>
              <w:numPr>
                <w:ilvl w:val="0"/>
                <w:numId w:val="9"/>
              </w:numPr>
              <w:ind w:left="342"/>
            </w:pPr>
            <w:r w:rsidRPr="003D3432">
              <w:t>Work in accordance with the University’s Equal Opportunities Policy and the Staff Charter, promoting equality and diversity in your work.</w:t>
            </w:r>
          </w:p>
          <w:p w:rsidR="00DE696E" w:rsidRPr="003D3432" w:rsidRDefault="00DE696E" w:rsidP="003F23FB">
            <w:pPr>
              <w:pStyle w:val="ListParagraph"/>
              <w:numPr>
                <w:ilvl w:val="0"/>
                <w:numId w:val="9"/>
              </w:numPr>
            </w:pPr>
            <w:r w:rsidRPr="003D3432">
              <w:t>Undertake continuous personal and professional development, and to support it for any staff you manage through effective use of the University’s Planning, Review and Appraisal scheme and staff development opportunities.</w:t>
            </w:r>
          </w:p>
          <w:p w:rsidR="00DE696E" w:rsidRPr="003D3432" w:rsidRDefault="00DE696E" w:rsidP="003F23FB">
            <w:pPr>
              <w:pStyle w:val="ListParagraph"/>
              <w:numPr>
                <w:ilvl w:val="0"/>
                <w:numId w:val="9"/>
              </w:numPr>
            </w:pPr>
            <w:r w:rsidRPr="003D3432">
              <w:t>Make full use of all information and communication technologies in adherence to data protection policies to meet the requirements of the role and to promote organisational effectiveness.</w:t>
            </w:r>
          </w:p>
          <w:p w:rsidR="00DE696E" w:rsidRDefault="00DE696E" w:rsidP="003F23FB">
            <w:pPr>
              <w:pStyle w:val="ListParagraph"/>
              <w:numPr>
                <w:ilvl w:val="0"/>
                <w:numId w:val="9"/>
              </w:numPr>
            </w:pPr>
            <w:r w:rsidRPr="003D3432">
              <w:t xml:space="preserve">Conduct all financial matters associated with the role accordance </w:t>
            </w:r>
            <w:r w:rsidR="001C6D22">
              <w:t>to</w:t>
            </w:r>
            <w:r w:rsidRPr="003D3432">
              <w:t xml:space="preserve"> the University’s policies and procedures, as laid down in the Financial Regulations.</w:t>
            </w:r>
          </w:p>
          <w:p w:rsidR="008E7F6B" w:rsidRPr="003D3432" w:rsidRDefault="008E7F6B" w:rsidP="003F23FB">
            <w:pPr>
              <w:pStyle w:val="ListParagraph"/>
              <w:numPr>
                <w:ilvl w:val="0"/>
                <w:numId w:val="9"/>
              </w:numPr>
            </w:pPr>
            <w:r w:rsidRPr="008E7F6B">
              <w:t>To personally contribute towards reducing the university’s impact on the environment and support actions associated with the UAL Sustainability Manifesto (2016 – 2022)</w:t>
            </w:r>
          </w:p>
          <w:p w:rsidR="00594C01" w:rsidRPr="003D3432" w:rsidRDefault="00594C01" w:rsidP="00DE696E"/>
        </w:tc>
      </w:tr>
      <w:tr w:rsidR="00594C01" w:rsidRPr="00C007C8" w:rsidTr="00150DEB">
        <w:trPr>
          <w:trHeight w:val="406"/>
        </w:trPr>
        <w:tc>
          <w:tcPr>
            <w:tcW w:w="9214" w:type="dxa"/>
            <w:gridSpan w:val="3"/>
          </w:tcPr>
          <w:p w:rsidR="00C36210" w:rsidRPr="003D3432" w:rsidRDefault="00594C01" w:rsidP="000B4B43">
            <w:pPr>
              <w:spacing w:before="120" w:after="120"/>
            </w:pPr>
            <w:r w:rsidRPr="003D3432">
              <w:rPr>
                <w:b/>
              </w:rPr>
              <w:lastRenderedPageBreak/>
              <w:t>Key Working Relationships</w:t>
            </w:r>
          </w:p>
          <w:p w:rsidR="001C6D22" w:rsidRPr="003D3432" w:rsidRDefault="00D11E19" w:rsidP="00D11E19">
            <w:r w:rsidRPr="00D11E19">
              <w:t>Director of Estates and Estates SMT, Associate Director of Finance, Procurement Category Manager, External Legal Teams and suppliers, Key Stakeholders, Estates Lead Accountant</w:t>
            </w:r>
          </w:p>
        </w:tc>
      </w:tr>
      <w:tr w:rsidR="00594C01" w:rsidRPr="00C007C8" w:rsidTr="000C0840">
        <w:tc>
          <w:tcPr>
            <w:tcW w:w="9214" w:type="dxa"/>
            <w:gridSpan w:val="3"/>
          </w:tcPr>
          <w:p w:rsidR="00594C01" w:rsidRPr="003D3432" w:rsidRDefault="00594C01" w:rsidP="000B4B43">
            <w:pPr>
              <w:spacing w:before="120" w:after="120"/>
              <w:rPr>
                <w:b/>
              </w:rPr>
            </w:pPr>
            <w:r w:rsidRPr="003D3432">
              <w:rPr>
                <w:b/>
              </w:rPr>
              <w:t>Specific Management Responsibilities</w:t>
            </w:r>
          </w:p>
          <w:p w:rsidR="00594C01" w:rsidRPr="003D3432" w:rsidRDefault="00594C01" w:rsidP="00C007C8">
            <w:r w:rsidRPr="00D11E19">
              <w:rPr>
                <w:b/>
              </w:rPr>
              <w:t>Budgets:</w:t>
            </w:r>
            <w:r w:rsidR="00B26E52" w:rsidRPr="003D3432">
              <w:t xml:space="preserve"> </w:t>
            </w:r>
            <w:r w:rsidR="00D11E19" w:rsidRPr="00D11E19">
              <w:t xml:space="preserve">Responsible for setting budgets advising Senior Management Team in bidding for finance and management of same. </w:t>
            </w:r>
          </w:p>
          <w:p w:rsidR="00594C01" w:rsidRPr="00D11E19" w:rsidRDefault="00594C01" w:rsidP="00C007C8">
            <w:pPr>
              <w:rPr>
                <w:b/>
              </w:rPr>
            </w:pPr>
            <w:r w:rsidRPr="00D11E19">
              <w:rPr>
                <w:b/>
              </w:rPr>
              <w:t>Staff:</w:t>
            </w:r>
            <w:r w:rsidR="00B26E52" w:rsidRPr="00D11E19">
              <w:rPr>
                <w:b/>
              </w:rPr>
              <w:t xml:space="preserve"> </w:t>
            </w:r>
            <w:r w:rsidR="00D11E19" w:rsidRPr="00D11E19">
              <w:rPr>
                <w:color w:val="211D1E"/>
                <w:szCs w:val="22"/>
              </w:rPr>
              <w:t>Member of Estates Management team in a professional capacity and also a reporting responsibility to the Finance team.</w:t>
            </w:r>
          </w:p>
          <w:p w:rsidR="000B4B43" w:rsidRPr="003D3432" w:rsidRDefault="000B4B43" w:rsidP="00C007C8"/>
        </w:tc>
      </w:tr>
    </w:tbl>
    <w:p w:rsidR="00594C01" w:rsidRPr="00C007C8" w:rsidRDefault="00594C01" w:rsidP="00C007C8"/>
    <w:p w:rsidR="001C6D22" w:rsidRDefault="001C6D22" w:rsidP="00815AAD">
      <w:pPr>
        <w:ind w:left="-142"/>
      </w:pPr>
    </w:p>
    <w:p w:rsidR="00DE696E" w:rsidRDefault="00DE696E" w:rsidP="00815AAD">
      <w:pPr>
        <w:ind w:left="-142"/>
      </w:pPr>
      <w:r>
        <w:br w:type="page"/>
      </w:r>
    </w:p>
    <w:p w:rsidR="00594C01" w:rsidRPr="00C007C8" w:rsidRDefault="00594C01" w:rsidP="00C007C8"/>
    <w:p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51"/>
        <w:gridCol w:w="5265"/>
      </w:tblGrid>
      <w:tr w:rsidR="00DE696E" w:rsidRPr="005D7A28" w:rsidTr="00815AAD">
        <w:trPr>
          <w:trHeight w:val="410"/>
        </w:trPr>
        <w:tc>
          <w:tcPr>
            <w:tcW w:w="9180" w:type="dxa"/>
            <w:gridSpan w:val="2"/>
            <w:shd w:val="clear" w:color="auto" w:fill="000000" w:themeFill="text1"/>
            <w:vAlign w:val="center"/>
          </w:tcPr>
          <w:p w:rsidR="00DE696E" w:rsidRDefault="00815AAD" w:rsidP="00815AAD">
            <w:pPr>
              <w:jc w:val="center"/>
              <w:rPr>
                <w:rFonts w:ascii="Calibri" w:hAnsi="Calibri" w:cs="Arial"/>
                <w:b/>
              </w:rPr>
            </w:pPr>
            <w:r w:rsidRPr="00815AAD">
              <w:rPr>
                <w:rFonts w:ascii="Calibri" w:hAnsi="Calibri" w:cs="Arial"/>
                <w:b/>
              </w:rPr>
              <w:t>PERSON SPECIFICATION</w:t>
            </w:r>
          </w:p>
          <w:p w:rsidR="00431B5B" w:rsidRPr="00815AAD" w:rsidRDefault="00431B5B" w:rsidP="00815AAD">
            <w:pPr>
              <w:jc w:val="center"/>
              <w:rPr>
                <w:rFonts w:ascii="Calibri" w:hAnsi="Calibri" w:cs="Arial"/>
                <w:b/>
                <w:color w:val="262626" w:themeColor="text1" w:themeTint="D9"/>
              </w:rPr>
            </w:pPr>
          </w:p>
        </w:tc>
      </w:tr>
      <w:tr w:rsidR="00DE696E" w:rsidRPr="005D7A28" w:rsidTr="001F575A">
        <w:tc>
          <w:tcPr>
            <w:tcW w:w="3794" w:type="dxa"/>
          </w:tcPr>
          <w:p w:rsidR="00DE696E" w:rsidRPr="005D7A28" w:rsidRDefault="00DE696E" w:rsidP="001F575A">
            <w:pPr>
              <w:spacing w:before="120" w:after="120"/>
              <w:rPr>
                <w:rFonts w:ascii="Calibri" w:hAnsi="Calibri" w:cs="Arial"/>
              </w:rPr>
            </w:pPr>
            <w:r w:rsidRPr="005D7A28">
              <w:rPr>
                <w:rFonts w:ascii="Calibri" w:hAnsi="Calibri" w:cs="Arial"/>
              </w:rPr>
              <w:t>Specialist Knowledge/Qualifications</w:t>
            </w:r>
          </w:p>
        </w:tc>
        <w:tc>
          <w:tcPr>
            <w:tcW w:w="5386" w:type="dxa"/>
          </w:tcPr>
          <w:p w:rsidR="00D11E19" w:rsidRPr="00D11E19" w:rsidRDefault="00D11E19" w:rsidP="00D11E19">
            <w:pPr>
              <w:spacing w:before="120" w:after="120"/>
              <w:rPr>
                <w:rFonts w:ascii="Calibri" w:hAnsi="Calibri" w:cs="Arial"/>
              </w:rPr>
            </w:pPr>
            <w:r w:rsidRPr="00D11E19">
              <w:rPr>
                <w:rFonts w:ascii="Calibri" w:hAnsi="Calibri" w:cs="Arial"/>
              </w:rPr>
              <w:t xml:space="preserve">• </w:t>
            </w:r>
            <w:r w:rsidR="003F23FB">
              <w:rPr>
                <w:rFonts w:ascii="Calibri" w:hAnsi="Calibri" w:cs="Arial"/>
              </w:rPr>
              <w:t xml:space="preserve">   </w:t>
            </w:r>
            <w:bookmarkStart w:id="0" w:name="_GoBack"/>
            <w:bookmarkEnd w:id="0"/>
            <w:r w:rsidRPr="00D11E19">
              <w:rPr>
                <w:rFonts w:ascii="Calibri" w:hAnsi="Calibri" w:cs="Arial"/>
              </w:rPr>
              <w:t>Quantity Surveying or associated knowledge and professionally qualified essential.</w:t>
            </w:r>
          </w:p>
          <w:p w:rsidR="00D11E19" w:rsidRPr="00D11E19" w:rsidRDefault="00D11E19" w:rsidP="00D11E19">
            <w:pPr>
              <w:spacing w:before="120" w:after="120"/>
              <w:rPr>
                <w:rFonts w:ascii="Calibri" w:hAnsi="Calibri" w:cs="Arial"/>
              </w:rPr>
            </w:pPr>
            <w:r w:rsidRPr="00D11E19">
              <w:rPr>
                <w:rFonts w:ascii="Calibri" w:hAnsi="Calibri" w:cs="Arial"/>
              </w:rPr>
              <w:t xml:space="preserve">• </w:t>
            </w:r>
            <w:r w:rsidR="003F23FB">
              <w:rPr>
                <w:rFonts w:ascii="Calibri" w:hAnsi="Calibri" w:cs="Arial"/>
              </w:rPr>
              <w:t xml:space="preserve">   </w:t>
            </w:r>
            <w:r w:rsidRPr="00D11E19">
              <w:rPr>
                <w:rFonts w:ascii="Calibri" w:hAnsi="Calibri" w:cs="Arial"/>
              </w:rPr>
              <w:t>Qualification with a recognised accounting body would be an advantage.</w:t>
            </w:r>
          </w:p>
          <w:p w:rsidR="00603E81" w:rsidRPr="005D7A28" w:rsidRDefault="00D11E19" w:rsidP="00DE696E">
            <w:pPr>
              <w:spacing w:before="120" w:after="120"/>
              <w:rPr>
                <w:rFonts w:ascii="Calibri" w:hAnsi="Calibri" w:cs="Arial"/>
              </w:rPr>
            </w:pPr>
            <w:r w:rsidRPr="00D11E19">
              <w:rPr>
                <w:rFonts w:ascii="Calibri" w:hAnsi="Calibri" w:cs="Arial"/>
              </w:rPr>
              <w:t xml:space="preserve"> • </w:t>
            </w:r>
            <w:r w:rsidR="003F23FB">
              <w:rPr>
                <w:rFonts w:ascii="Calibri" w:hAnsi="Calibri" w:cs="Arial"/>
              </w:rPr>
              <w:t xml:space="preserve">  </w:t>
            </w:r>
            <w:r w:rsidRPr="00D11E19">
              <w:rPr>
                <w:rFonts w:ascii="Calibri" w:hAnsi="Calibri" w:cs="Arial"/>
              </w:rPr>
              <w:t>Ability to create tender documentation from surveys/drawings.</w:t>
            </w:r>
          </w:p>
        </w:tc>
      </w:tr>
      <w:tr w:rsidR="00DE696E" w:rsidRPr="005D7A28" w:rsidTr="001F575A">
        <w:tc>
          <w:tcPr>
            <w:tcW w:w="3794" w:type="dxa"/>
          </w:tcPr>
          <w:p w:rsidR="00DE696E" w:rsidRPr="005D7A28" w:rsidRDefault="00DE696E" w:rsidP="001F575A">
            <w:pPr>
              <w:rPr>
                <w:rFonts w:ascii="Calibri" w:hAnsi="Calibri" w:cs="Arial"/>
              </w:rPr>
            </w:pPr>
            <w:r w:rsidRPr="005D7A28">
              <w:rPr>
                <w:rFonts w:ascii="Calibri" w:hAnsi="Calibri" w:cs="Arial"/>
              </w:rPr>
              <w:t>Relevant Experience</w:t>
            </w:r>
          </w:p>
        </w:tc>
        <w:tc>
          <w:tcPr>
            <w:tcW w:w="5386" w:type="dxa"/>
          </w:tcPr>
          <w:p w:rsidR="00D11E19" w:rsidRPr="00D11E19" w:rsidRDefault="007128A1" w:rsidP="00D11E19">
            <w:pPr>
              <w:spacing w:before="120"/>
              <w:rPr>
                <w:rFonts w:ascii="Calibri" w:hAnsi="Calibri" w:cs="Arial"/>
              </w:rPr>
            </w:pPr>
            <w:r>
              <w:rPr>
                <w:rFonts w:ascii="Calibri" w:hAnsi="Calibri" w:cs="Arial"/>
              </w:rPr>
              <w:t xml:space="preserve"> </w:t>
            </w:r>
            <w:r w:rsidR="00D11E19" w:rsidRPr="00D11E19">
              <w:rPr>
                <w:rFonts w:ascii="Calibri" w:hAnsi="Calibri" w:cs="Arial"/>
              </w:rPr>
              <w:t>•</w:t>
            </w:r>
            <w:r w:rsidR="003F23FB">
              <w:rPr>
                <w:rFonts w:ascii="Calibri" w:hAnsi="Calibri" w:cs="Arial"/>
              </w:rPr>
              <w:t xml:space="preserve">   </w:t>
            </w:r>
            <w:r w:rsidR="00D11E19" w:rsidRPr="00D11E19">
              <w:rPr>
                <w:rFonts w:ascii="Calibri" w:hAnsi="Calibri" w:cs="Arial"/>
              </w:rPr>
              <w:t>Demonstrable experience in the Property sector in procuring of</w:t>
            </w:r>
            <w:r w:rsidR="00D11E19">
              <w:rPr>
                <w:rFonts w:ascii="Calibri" w:hAnsi="Calibri" w:cs="Arial"/>
              </w:rPr>
              <w:t xml:space="preserve"> </w:t>
            </w:r>
            <w:r w:rsidR="00D11E19" w:rsidRPr="00D11E19">
              <w:rPr>
                <w:rFonts w:ascii="Calibri" w:hAnsi="Calibri" w:cs="Arial"/>
              </w:rPr>
              <w:t>contractors and consultants and cost management and reporting.</w:t>
            </w:r>
            <w:r w:rsidR="00D11E19">
              <w:rPr>
                <w:rFonts w:ascii="Calibri" w:hAnsi="Calibri" w:cs="Arial"/>
              </w:rPr>
              <w:t xml:space="preserve"> </w:t>
            </w:r>
            <w:r w:rsidR="00D11E19" w:rsidRPr="00D11E19">
              <w:rPr>
                <w:rFonts w:ascii="Calibri" w:hAnsi="Calibri" w:cs="Arial"/>
              </w:rPr>
              <w:t>Also good working knowledge of project management and health and</w:t>
            </w:r>
            <w:r w:rsidR="00D11E19">
              <w:rPr>
                <w:rFonts w:ascii="Calibri" w:hAnsi="Calibri" w:cs="Arial"/>
              </w:rPr>
              <w:t xml:space="preserve"> </w:t>
            </w:r>
            <w:r w:rsidR="00D11E19" w:rsidRPr="00D11E19">
              <w:rPr>
                <w:rFonts w:ascii="Calibri" w:hAnsi="Calibri" w:cs="Arial"/>
              </w:rPr>
              <w:t>safety legislation.</w:t>
            </w:r>
          </w:p>
          <w:p w:rsidR="00D11E19" w:rsidRPr="00D11E19" w:rsidRDefault="00D11E19" w:rsidP="00D11E19">
            <w:pPr>
              <w:spacing w:before="120"/>
              <w:rPr>
                <w:rFonts w:ascii="Calibri" w:hAnsi="Calibri" w:cs="Arial"/>
              </w:rPr>
            </w:pPr>
            <w:r w:rsidRPr="00D11E19">
              <w:rPr>
                <w:rFonts w:ascii="Calibri" w:hAnsi="Calibri" w:cs="Arial"/>
              </w:rPr>
              <w:t>•</w:t>
            </w:r>
            <w:r w:rsidR="003F23FB">
              <w:rPr>
                <w:rFonts w:ascii="Calibri" w:hAnsi="Calibri" w:cs="Arial"/>
              </w:rPr>
              <w:t xml:space="preserve">   </w:t>
            </w:r>
            <w:r w:rsidRPr="00D11E19">
              <w:rPr>
                <w:rFonts w:ascii="Calibri" w:hAnsi="Calibri" w:cs="Arial"/>
              </w:rPr>
              <w:t>Experience in management of construction sector frame</w:t>
            </w:r>
            <w:r>
              <w:rPr>
                <w:rFonts w:ascii="Calibri" w:hAnsi="Calibri" w:cs="Arial"/>
              </w:rPr>
              <w:t xml:space="preserve"> </w:t>
            </w:r>
            <w:r w:rsidRPr="00D11E19">
              <w:rPr>
                <w:rFonts w:ascii="Calibri" w:hAnsi="Calibri" w:cs="Arial"/>
              </w:rPr>
              <w:t>works</w:t>
            </w:r>
            <w:r>
              <w:rPr>
                <w:rFonts w:ascii="Calibri" w:hAnsi="Calibri" w:cs="Arial"/>
              </w:rPr>
              <w:t xml:space="preserve"> </w:t>
            </w:r>
            <w:r w:rsidRPr="00D11E19">
              <w:rPr>
                <w:rFonts w:ascii="Calibri" w:hAnsi="Calibri" w:cs="Arial"/>
              </w:rPr>
              <w:t>would be an advantage.</w:t>
            </w:r>
          </w:p>
          <w:p w:rsidR="00D11E19" w:rsidRPr="00D11E19" w:rsidRDefault="00D11E19" w:rsidP="00D11E19">
            <w:pPr>
              <w:spacing w:before="120"/>
              <w:rPr>
                <w:rFonts w:ascii="Calibri" w:hAnsi="Calibri" w:cs="Arial"/>
              </w:rPr>
            </w:pPr>
            <w:r w:rsidRPr="00D11E19">
              <w:rPr>
                <w:rFonts w:ascii="Calibri" w:hAnsi="Calibri" w:cs="Arial"/>
              </w:rPr>
              <w:t>•</w:t>
            </w:r>
            <w:r w:rsidR="003F23FB">
              <w:rPr>
                <w:rFonts w:ascii="Calibri" w:hAnsi="Calibri" w:cs="Arial"/>
              </w:rPr>
              <w:t xml:space="preserve">   </w:t>
            </w:r>
            <w:r w:rsidRPr="00D11E19">
              <w:rPr>
                <w:rFonts w:ascii="Calibri" w:hAnsi="Calibri" w:cs="Arial"/>
              </w:rPr>
              <w:t>Significant experience in new build and refurbishment ranging from</w:t>
            </w:r>
            <w:r>
              <w:rPr>
                <w:rFonts w:ascii="Calibri" w:hAnsi="Calibri" w:cs="Arial"/>
              </w:rPr>
              <w:t xml:space="preserve"> </w:t>
            </w:r>
            <w:r w:rsidRPr="00D11E19">
              <w:rPr>
                <w:rFonts w:ascii="Calibri" w:hAnsi="Calibri" w:cs="Arial"/>
              </w:rPr>
              <w:t>minor to large scale complex projects.</w:t>
            </w:r>
          </w:p>
          <w:p w:rsidR="00D11E19" w:rsidRPr="00D11E19" w:rsidRDefault="00D11E19" w:rsidP="00D11E19">
            <w:pPr>
              <w:spacing w:before="120"/>
              <w:rPr>
                <w:rFonts w:ascii="Calibri" w:hAnsi="Calibri" w:cs="Arial"/>
              </w:rPr>
            </w:pPr>
            <w:r w:rsidRPr="00D11E19">
              <w:rPr>
                <w:rFonts w:ascii="Calibri" w:hAnsi="Calibri" w:cs="Arial"/>
              </w:rPr>
              <w:t>•</w:t>
            </w:r>
            <w:r w:rsidR="003F23FB">
              <w:rPr>
                <w:rFonts w:ascii="Calibri" w:hAnsi="Calibri" w:cs="Arial"/>
              </w:rPr>
              <w:t xml:space="preserve">   </w:t>
            </w:r>
            <w:r w:rsidRPr="00D11E19">
              <w:rPr>
                <w:rFonts w:ascii="Calibri" w:hAnsi="Calibri" w:cs="Arial"/>
              </w:rPr>
              <w:t>Strong working knowledge of forms of construction related contract</w:t>
            </w:r>
            <w:r>
              <w:rPr>
                <w:rFonts w:ascii="Calibri" w:hAnsi="Calibri" w:cs="Arial"/>
              </w:rPr>
              <w:t xml:space="preserve"> </w:t>
            </w:r>
            <w:r w:rsidRPr="00D11E19">
              <w:rPr>
                <w:rFonts w:ascii="Calibri" w:hAnsi="Calibri" w:cs="Arial"/>
              </w:rPr>
              <w:t>documentation.</w:t>
            </w:r>
          </w:p>
          <w:p w:rsidR="00603E81" w:rsidRPr="007128A1" w:rsidRDefault="00D11E19" w:rsidP="00D11E19">
            <w:pPr>
              <w:spacing w:before="120"/>
              <w:rPr>
                <w:rFonts w:ascii="Calibri" w:hAnsi="Calibri" w:cs="Arial"/>
              </w:rPr>
            </w:pPr>
            <w:r w:rsidRPr="00D11E19">
              <w:rPr>
                <w:rFonts w:ascii="Calibri" w:hAnsi="Calibri" w:cs="Arial"/>
              </w:rPr>
              <w:t>•</w:t>
            </w:r>
            <w:r w:rsidR="003F23FB">
              <w:rPr>
                <w:rFonts w:ascii="Calibri" w:hAnsi="Calibri" w:cs="Arial"/>
              </w:rPr>
              <w:t xml:space="preserve">   </w:t>
            </w:r>
            <w:r w:rsidRPr="00D11E19">
              <w:rPr>
                <w:rFonts w:ascii="Calibri" w:hAnsi="Calibri" w:cs="Arial"/>
              </w:rPr>
              <w:t>Experience in Public sector/education sector would be an</w:t>
            </w:r>
            <w:r>
              <w:rPr>
                <w:rFonts w:ascii="Calibri" w:hAnsi="Calibri" w:cs="Arial"/>
              </w:rPr>
              <w:t xml:space="preserve"> advantage.</w:t>
            </w:r>
          </w:p>
        </w:tc>
      </w:tr>
      <w:tr w:rsidR="00DE696E" w:rsidRPr="005D7A28" w:rsidTr="001F575A">
        <w:tc>
          <w:tcPr>
            <w:tcW w:w="3794" w:type="dxa"/>
            <w:vAlign w:val="center"/>
          </w:tcPr>
          <w:p w:rsidR="00DE696E" w:rsidRPr="005D7A28" w:rsidRDefault="00DE696E" w:rsidP="001F575A">
            <w:pPr>
              <w:spacing w:before="120" w:after="120"/>
              <w:rPr>
                <w:rFonts w:ascii="Calibri" w:hAnsi="Calibri" w:cs="Arial"/>
              </w:rPr>
            </w:pPr>
            <w:r w:rsidRPr="005D7A28">
              <w:rPr>
                <w:rFonts w:ascii="Calibri" w:hAnsi="Calibri" w:cs="Arial"/>
              </w:rPr>
              <w:t>Communica</w:t>
            </w:r>
            <w:r>
              <w:rPr>
                <w:rFonts w:ascii="Calibri" w:hAnsi="Calibri" w:cs="Arial"/>
              </w:rPr>
              <w:t>t</w:t>
            </w:r>
            <w:r w:rsidRPr="005D7A28">
              <w:rPr>
                <w:rFonts w:ascii="Calibri" w:hAnsi="Calibri" w:cs="Arial"/>
              </w:rPr>
              <w:t>ion Skills</w:t>
            </w:r>
          </w:p>
        </w:tc>
        <w:tc>
          <w:tcPr>
            <w:tcW w:w="5386" w:type="dxa"/>
            <w:vAlign w:val="center"/>
          </w:tcPr>
          <w:p w:rsidR="00D11E19" w:rsidRPr="00D11E19" w:rsidRDefault="00D11E19" w:rsidP="00D11E19">
            <w:pPr>
              <w:rPr>
                <w:rFonts w:ascii="Calibri" w:hAnsi="Calibri" w:cs="Arial"/>
                <w:color w:val="000000"/>
              </w:rPr>
            </w:pPr>
            <w:r w:rsidRPr="00D11E19">
              <w:rPr>
                <w:rFonts w:ascii="Calibri" w:hAnsi="Calibri" w:cs="Arial"/>
                <w:color w:val="000000"/>
              </w:rPr>
              <w:t>•</w:t>
            </w:r>
            <w:r w:rsidR="003F23FB">
              <w:rPr>
                <w:rFonts w:ascii="Calibri" w:hAnsi="Calibri" w:cs="Arial"/>
                <w:color w:val="000000"/>
              </w:rPr>
              <w:t xml:space="preserve">   </w:t>
            </w:r>
            <w:r w:rsidRPr="00D11E19">
              <w:rPr>
                <w:rFonts w:ascii="Calibri" w:hAnsi="Calibri" w:cs="Arial"/>
                <w:color w:val="000000"/>
              </w:rPr>
              <w:t>Communicates technical or specialist ideas or information</w:t>
            </w:r>
            <w:r w:rsidR="003F23FB">
              <w:rPr>
                <w:rFonts w:ascii="Calibri" w:hAnsi="Calibri" w:cs="Arial"/>
                <w:color w:val="000000"/>
              </w:rPr>
              <w:t xml:space="preserve"> </w:t>
            </w:r>
            <w:r w:rsidRPr="00D11E19">
              <w:rPr>
                <w:rFonts w:ascii="Calibri" w:hAnsi="Calibri" w:cs="Arial"/>
                <w:color w:val="000000"/>
              </w:rPr>
              <w:t>persuasively adapting the style and message to a diverse audience in</w:t>
            </w:r>
            <w:r w:rsidR="003F23FB">
              <w:rPr>
                <w:rFonts w:ascii="Calibri" w:hAnsi="Calibri" w:cs="Arial"/>
                <w:color w:val="000000"/>
              </w:rPr>
              <w:t xml:space="preserve"> </w:t>
            </w:r>
            <w:r w:rsidRPr="00D11E19">
              <w:rPr>
                <w:rFonts w:ascii="Calibri" w:hAnsi="Calibri" w:cs="Arial"/>
                <w:color w:val="000000"/>
              </w:rPr>
              <w:t>an inclusive and accessible way.</w:t>
            </w:r>
          </w:p>
          <w:p w:rsidR="00D11E19" w:rsidRPr="00D11E19" w:rsidRDefault="00D11E19" w:rsidP="00D11E19">
            <w:pPr>
              <w:rPr>
                <w:rFonts w:ascii="Calibri" w:hAnsi="Calibri" w:cs="Arial"/>
                <w:color w:val="000000"/>
              </w:rPr>
            </w:pPr>
            <w:r w:rsidRPr="00D11E19">
              <w:rPr>
                <w:rFonts w:ascii="Calibri" w:hAnsi="Calibri" w:cs="Arial"/>
                <w:color w:val="000000"/>
              </w:rPr>
              <w:t>•</w:t>
            </w:r>
            <w:r w:rsidR="003F23FB">
              <w:rPr>
                <w:rFonts w:ascii="Calibri" w:hAnsi="Calibri" w:cs="Arial"/>
                <w:color w:val="000000"/>
              </w:rPr>
              <w:t xml:space="preserve">   </w:t>
            </w:r>
            <w:r w:rsidRPr="00D11E19">
              <w:rPr>
                <w:rFonts w:ascii="Calibri" w:hAnsi="Calibri" w:cs="Arial"/>
                <w:color w:val="000000"/>
              </w:rPr>
              <w:t>Needs to be able to present to an executive level in an organisation.</w:t>
            </w:r>
          </w:p>
          <w:p w:rsidR="00D11E19" w:rsidRPr="00D11E19" w:rsidRDefault="00D11E19" w:rsidP="00D11E19">
            <w:pPr>
              <w:rPr>
                <w:rFonts w:ascii="Calibri" w:hAnsi="Calibri" w:cs="Arial"/>
                <w:color w:val="000000"/>
              </w:rPr>
            </w:pPr>
            <w:r w:rsidRPr="00D11E19">
              <w:rPr>
                <w:rFonts w:ascii="Calibri" w:hAnsi="Calibri" w:cs="Arial"/>
                <w:color w:val="000000"/>
              </w:rPr>
              <w:t>•</w:t>
            </w:r>
            <w:r w:rsidR="003F23FB">
              <w:rPr>
                <w:rFonts w:ascii="Calibri" w:hAnsi="Calibri" w:cs="Arial"/>
                <w:color w:val="000000"/>
              </w:rPr>
              <w:t xml:space="preserve">   </w:t>
            </w:r>
            <w:r w:rsidRPr="00D11E19">
              <w:rPr>
                <w:rFonts w:ascii="Calibri" w:hAnsi="Calibri" w:cs="Arial"/>
                <w:color w:val="000000"/>
              </w:rPr>
              <w:t>Articulate and able to prepare reports and presentations to a high</w:t>
            </w:r>
            <w:r w:rsidR="003F23FB">
              <w:rPr>
                <w:rFonts w:ascii="Calibri" w:hAnsi="Calibri" w:cs="Arial"/>
                <w:color w:val="000000"/>
              </w:rPr>
              <w:t xml:space="preserve"> </w:t>
            </w:r>
            <w:r w:rsidRPr="00D11E19">
              <w:rPr>
                <w:rFonts w:ascii="Calibri" w:hAnsi="Calibri" w:cs="Arial"/>
                <w:color w:val="000000"/>
              </w:rPr>
              <w:t>standard.</w:t>
            </w:r>
          </w:p>
          <w:p w:rsidR="00D11E19" w:rsidRPr="00D11E19" w:rsidRDefault="00D11E19" w:rsidP="00D11E19">
            <w:pPr>
              <w:rPr>
                <w:rFonts w:ascii="Calibri" w:hAnsi="Calibri" w:cs="Arial"/>
                <w:color w:val="000000"/>
              </w:rPr>
            </w:pPr>
            <w:r w:rsidRPr="00D11E19">
              <w:rPr>
                <w:rFonts w:ascii="Calibri" w:hAnsi="Calibri" w:cs="Arial"/>
                <w:color w:val="000000"/>
              </w:rPr>
              <w:t>•</w:t>
            </w:r>
            <w:r w:rsidR="003F23FB">
              <w:rPr>
                <w:rFonts w:ascii="Calibri" w:hAnsi="Calibri" w:cs="Arial"/>
                <w:color w:val="000000"/>
              </w:rPr>
              <w:t xml:space="preserve">   </w:t>
            </w:r>
            <w:r w:rsidRPr="00D11E19">
              <w:rPr>
                <w:rFonts w:ascii="Calibri" w:hAnsi="Calibri" w:cs="Arial"/>
                <w:color w:val="000000"/>
              </w:rPr>
              <w:t>Tactful and diplomatic.</w:t>
            </w:r>
          </w:p>
          <w:p w:rsidR="00603E81" w:rsidRPr="00603E81" w:rsidRDefault="00D11E19" w:rsidP="00D11E19">
            <w:pPr>
              <w:rPr>
                <w:rFonts w:ascii="Calibri" w:hAnsi="Calibri" w:cs="Arial"/>
                <w:color w:val="000000"/>
              </w:rPr>
            </w:pPr>
            <w:r>
              <w:rPr>
                <w:rFonts w:ascii="Calibri" w:hAnsi="Calibri" w:cs="Arial"/>
                <w:color w:val="000000"/>
              </w:rPr>
              <w:t>•</w:t>
            </w:r>
            <w:r w:rsidR="003F23FB">
              <w:rPr>
                <w:rFonts w:ascii="Calibri" w:hAnsi="Calibri" w:cs="Arial"/>
                <w:color w:val="000000"/>
              </w:rPr>
              <w:t xml:space="preserve">   </w:t>
            </w:r>
            <w:r>
              <w:rPr>
                <w:rFonts w:ascii="Calibri" w:hAnsi="Calibri" w:cs="Arial"/>
                <w:color w:val="000000"/>
              </w:rPr>
              <w:t>Good IT skills.</w:t>
            </w:r>
          </w:p>
        </w:tc>
      </w:tr>
      <w:tr w:rsidR="00DE696E" w:rsidRPr="005D7A28" w:rsidTr="001F575A">
        <w:tc>
          <w:tcPr>
            <w:tcW w:w="3794" w:type="dxa"/>
            <w:vAlign w:val="center"/>
          </w:tcPr>
          <w:p w:rsidR="00DE696E" w:rsidRPr="005D7A28" w:rsidRDefault="00DE696E" w:rsidP="001F575A">
            <w:pPr>
              <w:spacing w:before="120" w:after="120"/>
              <w:rPr>
                <w:rFonts w:ascii="Calibri" w:hAnsi="Calibri" w:cs="Arial"/>
              </w:rPr>
            </w:pPr>
            <w:r w:rsidRPr="005D7A28">
              <w:rPr>
                <w:rFonts w:ascii="Calibri" w:hAnsi="Calibri" w:cs="Arial"/>
              </w:rPr>
              <w:t>Leadership and Management</w:t>
            </w:r>
          </w:p>
        </w:tc>
        <w:tc>
          <w:tcPr>
            <w:tcW w:w="5386" w:type="dxa"/>
            <w:vAlign w:val="center"/>
          </w:tcPr>
          <w:p w:rsidR="00D11E19" w:rsidRPr="003F23FB" w:rsidRDefault="00D11E19" w:rsidP="00D11E19">
            <w:pPr>
              <w:spacing w:before="120" w:after="120"/>
              <w:rPr>
                <w:rFonts w:ascii="Calibri" w:hAnsi="Calibri" w:cs="Arial"/>
              </w:rPr>
            </w:pPr>
            <w:r w:rsidRPr="00D11E19">
              <w:rPr>
                <w:rFonts w:ascii="Calibri" w:hAnsi="Calibri" w:cs="Arial"/>
                <w:i/>
              </w:rPr>
              <w:t>•</w:t>
            </w:r>
            <w:r w:rsidR="003F23FB">
              <w:rPr>
                <w:rFonts w:ascii="Calibri" w:hAnsi="Calibri" w:cs="Arial"/>
                <w:i/>
              </w:rPr>
              <w:t xml:space="preserve">   </w:t>
            </w:r>
            <w:r w:rsidRPr="003F23FB">
              <w:rPr>
                <w:rFonts w:ascii="Calibri" w:hAnsi="Calibri" w:cs="Arial"/>
              </w:rPr>
              <w:t>Motivates and leads a team effectively setting clear objectives to</w:t>
            </w:r>
            <w:r w:rsidR="003F23FB">
              <w:rPr>
                <w:rFonts w:ascii="Calibri" w:hAnsi="Calibri" w:cs="Arial"/>
              </w:rPr>
              <w:t xml:space="preserve"> </w:t>
            </w:r>
            <w:r w:rsidRPr="003F23FB">
              <w:rPr>
                <w:rFonts w:ascii="Calibri" w:hAnsi="Calibri" w:cs="Arial"/>
              </w:rPr>
              <w:t>manage performance.</w:t>
            </w:r>
          </w:p>
          <w:p w:rsidR="00603E81" w:rsidRPr="005D7A28" w:rsidRDefault="00D11E19" w:rsidP="007128A1">
            <w:pPr>
              <w:spacing w:before="120" w:after="120"/>
              <w:rPr>
                <w:rFonts w:ascii="Calibri" w:hAnsi="Calibri" w:cs="Arial"/>
                <w:i/>
              </w:rPr>
            </w:pPr>
            <w:r w:rsidRPr="003F23FB">
              <w:rPr>
                <w:rFonts w:ascii="Calibri" w:hAnsi="Calibri" w:cs="Arial"/>
              </w:rPr>
              <w:t>•</w:t>
            </w:r>
            <w:r w:rsidR="003F23FB">
              <w:rPr>
                <w:rFonts w:ascii="Calibri" w:hAnsi="Calibri" w:cs="Arial"/>
              </w:rPr>
              <w:t xml:space="preserve">   </w:t>
            </w:r>
            <w:r w:rsidRPr="003F23FB">
              <w:rPr>
                <w:rFonts w:ascii="Calibri" w:hAnsi="Calibri" w:cs="Arial"/>
              </w:rPr>
              <w:t>Self- motivated with the ability to manage internal and external</w:t>
            </w:r>
            <w:r w:rsidR="003F23FB">
              <w:rPr>
                <w:rFonts w:ascii="Calibri" w:hAnsi="Calibri" w:cs="Arial"/>
              </w:rPr>
              <w:t xml:space="preserve"> </w:t>
            </w:r>
            <w:r w:rsidRPr="003F23FB">
              <w:rPr>
                <w:rFonts w:ascii="Calibri" w:hAnsi="Calibri" w:cs="Arial"/>
              </w:rPr>
              <w:t>personnel.</w:t>
            </w:r>
          </w:p>
        </w:tc>
      </w:tr>
      <w:tr w:rsidR="00DE696E" w:rsidRPr="005D7A28" w:rsidTr="001F575A">
        <w:tc>
          <w:tcPr>
            <w:tcW w:w="3794" w:type="dxa"/>
            <w:vAlign w:val="center"/>
          </w:tcPr>
          <w:p w:rsidR="00DE696E" w:rsidRPr="005D7A28" w:rsidRDefault="00DE696E" w:rsidP="001F575A">
            <w:pPr>
              <w:spacing w:before="120" w:after="120"/>
              <w:rPr>
                <w:rFonts w:ascii="Calibri" w:hAnsi="Calibri" w:cs="Arial"/>
              </w:rPr>
            </w:pPr>
            <w:r w:rsidRPr="005D7A28">
              <w:rPr>
                <w:rFonts w:ascii="Calibri" w:hAnsi="Calibri" w:cs="Arial"/>
              </w:rPr>
              <w:t xml:space="preserve">Professional Practice </w:t>
            </w:r>
          </w:p>
        </w:tc>
        <w:tc>
          <w:tcPr>
            <w:tcW w:w="5386" w:type="dxa"/>
            <w:vAlign w:val="center"/>
          </w:tcPr>
          <w:p w:rsidR="003F23FB" w:rsidRPr="003F23FB" w:rsidRDefault="003F23FB" w:rsidP="003F23FB">
            <w:pPr>
              <w:spacing w:before="120" w:after="120"/>
              <w:rPr>
                <w:rFonts w:ascii="Calibri" w:hAnsi="Calibri" w:cs="Arial"/>
                <w:color w:val="000000"/>
              </w:rPr>
            </w:pPr>
            <w:r w:rsidRPr="003F23FB">
              <w:rPr>
                <w:rFonts w:ascii="Calibri" w:hAnsi="Calibri" w:cs="Arial"/>
                <w:color w:val="000000"/>
              </w:rPr>
              <w:t>•</w:t>
            </w:r>
            <w:r>
              <w:rPr>
                <w:rFonts w:ascii="Calibri" w:hAnsi="Calibri" w:cs="Arial"/>
                <w:color w:val="000000"/>
              </w:rPr>
              <w:t xml:space="preserve">   </w:t>
            </w:r>
            <w:r w:rsidRPr="003F23FB">
              <w:rPr>
                <w:rFonts w:ascii="Calibri" w:hAnsi="Calibri" w:cs="Arial"/>
                <w:color w:val="000000"/>
              </w:rPr>
              <w:t>Contributes to advancing professional practice/research or scholarly</w:t>
            </w:r>
            <w:r>
              <w:rPr>
                <w:rFonts w:ascii="Calibri" w:hAnsi="Calibri" w:cs="Arial"/>
                <w:color w:val="000000"/>
              </w:rPr>
              <w:t xml:space="preserve"> </w:t>
            </w:r>
            <w:r w:rsidRPr="003F23FB">
              <w:rPr>
                <w:rFonts w:ascii="Calibri" w:hAnsi="Calibri" w:cs="Arial"/>
                <w:color w:val="000000"/>
              </w:rPr>
              <w:t>activity in own area of specialism.</w:t>
            </w:r>
          </w:p>
          <w:p w:rsidR="003F23FB" w:rsidRPr="003F23FB" w:rsidRDefault="003F23FB" w:rsidP="003F23FB">
            <w:pPr>
              <w:spacing w:before="120" w:after="120"/>
              <w:rPr>
                <w:rFonts w:ascii="Calibri" w:hAnsi="Calibri" w:cs="Arial"/>
                <w:color w:val="000000"/>
              </w:rPr>
            </w:pPr>
            <w:r w:rsidRPr="003F23FB">
              <w:rPr>
                <w:rFonts w:ascii="Calibri" w:hAnsi="Calibri" w:cs="Arial"/>
                <w:color w:val="000000"/>
              </w:rPr>
              <w:t>•</w:t>
            </w:r>
            <w:r>
              <w:rPr>
                <w:rFonts w:ascii="Calibri" w:hAnsi="Calibri" w:cs="Arial"/>
                <w:color w:val="000000"/>
              </w:rPr>
              <w:t xml:space="preserve">   </w:t>
            </w:r>
            <w:r w:rsidRPr="003F23FB">
              <w:rPr>
                <w:rFonts w:ascii="Calibri" w:hAnsi="Calibri" w:cs="Arial"/>
                <w:color w:val="000000"/>
              </w:rPr>
              <w:t>Experience in a Cost consultancy practice or equivalent.</w:t>
            </w:r>
          </w:p>
          <w:p w:rsidR="003F23FB" w:rsidRPr="005D7A28" w:rsidRDefault="003F23FB" w:rsidP="00A2502C">
            <w:pPr>
              <w:spacing w:before="120" w:after="120"/>
              <w:rPr>
                <w:rFonts w:ascii="Calibri" w:hAnsi="Calibri" w:cs="Arial"/>
                <w:color w:val="000000"/>
              </w:rPr>
            </w:pPr>
            <w:r w:rsidRPr="003F23FB">
              <w:rPr>
                <w:rFonts w:ascii="Calibri" w:hAnsi="Calibri" w:cs="Arial"/>
                <w:color w:val="000000"/>
              </w:rPr>
              <w:t>•</w:t>
            </w:r>
            <w:r>
              <w:rPr>
                <w:rFonts w:ascii="Calibri" w:hAnsi="Calibri" w:cs="Arial"/>
                <w:color w:val="000000"/>
              </w:rPr>
              <w:t xml:space="preserve">   </w:t>
            </w:r>
            <w:r w:rsidRPr="003F23FB">
              <w:rPr>
                <w:rFonts w:ascii="Calibri" w:hAnsi="Calibri" w:cs="Arial"/>
                <w:color w:val="000000"/>
              </w:rPr>
              <w:t>Membership of any relevant professional bodies e.g. RICS desirable.</w:t>
            </w:r>
          </w:p>
        </w:tc>
      </w:tr>
      <w:tr w:rsidR="00DE696E" w:rsidRPr="005D7A28" w:rsidTr="001F575A">
        <w:tc>
          <w:tcPr>
            <w:tcW w:w="3794" w:type="dxa"/>
            <w:vAlign w:val="center"/>
          </w:tcPr>
          <w:p w:rsidR="00DE696E" w:rsidRPr="005D7A28" w:rsidRDefault="00DE696E" w:rsidP="001F575A">
            <w:pPr>
              <w:rPr>
                <w:rFonts w:ascii="Calibri" w:hAnsi="Calibri" w:cs="Arial"/>
              </w:rPr>
            </w:pPr>
            <w:r w:rsidRPr="005D7A28">
              <w:rPr>
                <w:rFonts w:ascii="Calibri" w:hAnsi="Calibri" w:cs="Arial"/>
              </w:rPr>
              <w:lastRenderedPageBreak/>
              <w:t>Planning and Managing Resources</w:t>
            </w:r>
          </w:p>
        </w:tc>
        <w:tc>
          <w:tcPr>
            <w:tcW w:w="5386" w:type="dxa"/>
            <w:vAlign w:val="center"/>
          </w:tcPr>
          <w:p w:rsidR="003F23FB" w:rsidRPr="003F23FB" w:rsidRDefault="003F23FB" w:rsidP="003F23FB">
            <w:pPr>
              <w:contextualSpacing/>
              <w:rPr>
                <w:rFonts w:ascii="Calibri" w:hAnsi="Calibri" w:cs="Arial"/>
                <w:color w:val="000000"/>
              </w:rPr>
            </w:pPr>
            <w:r w:rsidRPr="003F23FB">
              <w:rPr>
                <w:rFonts w:ascii="Calibri" w:hAnsi="Calibri" w:cs="Arial"/>
                <w:color w:val="000000"/>
              </w:rPr>
              <w:t>•</w:t>
            </w:r>
            <w:r>
              <w:rPr>
                <w:rFonts w:ascii="Calibri" w:hAnsi="Calibri" w:cs="Arial"/>
                <w:color w:val="000000"/>
              </w:rPr>
              <w:t xml:space="preserve">   </w:t>
            </w:r>
            <w:r w:rsidRPr="003F23FB">
              <w:rPr>
                <w:rFonts w:ascii="Calibri" w:hAnsi="Calibri" w:cs="Arial"/>
                <w:color w:val="000000"/>
              </w:rPr>
              <w:t>Effectively plans and manages operational activities or large</w:t>
            </w:r>
            <w:r>
              <w:rPr>
                <w:rFonts w:ascii="Calibri" w:hAnsi="Calibri" w:cs="Arial"/>
                <w:color w:val="000000"/>
              </w:rPr>
              <w:t xml:space="preserve"> </w:t>
            </w:r>
            <w:r w:rsidRPr="003F23FB">
              <w:rPr>
                <w:rFonts w:ascii="Calibri" w:hAnsi="Calibri" w:cs="Arial"/>
                <w:color w:val="000000"/>
              </w:rPr>
              <w:t>projects to achieve long term objectives.</w:t>
            </w:r>
          </w:p>
          <w:p w:rsidR="00603E81" w:rsidRPr="00A2502C" w:rsidRDefault="003F23FB" w:rsidP="00815AAD">
            <w:pPr>
              <w:contextualSpacing/>
              <w:rPr>
                <w:rFonts w:ascii="Calibri" w:hAnsi="Calibri" w:cs="Arial"/>
                <w:color w:val="000000"/>
              </w:rPr>
            </w:pPr>
            <w:r w:rsidRPr="003F23FB">
              <w:rPr>
                <w:rFonts w:ascii="Calibri" w:hAnsi="Calibri" w:cs="Arial"/>
                <w:color w:val="000000"/>
              </w:rPr>
              <w:t>•</w:t>
            </w:r>
            <w:r>
              <w:rPr>
                <w:rFonts w:ascii="Calibri" w:hAnsi="Calibri" w:cs="Arial"/>
                <w:color w:val="000000"/>
              </w:rPr>
              <w:t xml:space="preserve">   </w:t>
            </w:r>
            <w:r w:rsidRPr="003F23FB">
              <w:rPr>
                <w:rFonts w:ascii="Calibri" w:hAnsi="Calibri" w:cs="Arial"/>
                <w:color w:val="000000"/>
              </w:rPr>
              <w:t>Ability to draw upon resources as required.</w:t>
            </w:r>
          </w:p>
        </w:tc>
      </w:tr>
      <w:tr w:rsidR="00DE696E" w:rsidRPr="005D7A28" w:rsidTr="001F575A">
        <w:tc>
          <w:tcPr>
            <w:tcW w:w="3794" w:type="dxa"/>
            <w:vAlign w:val="center"/>
          </w:tcPr>
          <w:p w:rsidR="00DE696E" w:rsidRPr="005D7A28" w:rsidRDefault="00DE696E" w:rsidP="007128A1">
            <w:pPr>
              <w:rPr>
                <w:rFonts w:ascii="Calibri" w:hAnsi="Calibri" w:cs="Arial"/>
              </w:rPr>
            </w:pPr>
            <w:r w:rsidRPr="005D7A28">
              <w:rPr>
                <w:rFonts w:ascii="Calibri" w:hAnsi="Calibri" w:cs="Arial"/>
              </w:rPr>
              <w:t>Teamwork</w:t>
            </w:r>
          </w:p>
        </w:tc>
        <w:tc>
          <w:tcPr>
            <w:tcW w:w="5386" w:type="dxa"/>
            <w:vAlign w:val="center"/>
          </w:tcPr>
          <w:p w:rsidR="003F23FB" w:rsidRPr="003F23FB" w:rsidRDefault="003F23FB" w:rsidP="003F23FB">
            <w:pPr>
              <w:rPr>
                <w:rFonts w:ascii="Calibri" w:hAnsi="Calibri" w:cs="Arial"/>
                <w:color w:val="000000"/>
              </w:rPr>
            </w:pPr>
            <w:r w:rsidRPr="003F23FB">
              <w:rPr>
                <w:rFonts w:ascii="Calibri" w:hAnsi="Calibri" w:cs="Arial"/>
                <w:color w:val="000000"/>
              </w:rPr>
              <w:t>•</w:t>
            </w:r>
            <w:r>
              <w:rPr>
                <w:rFonts w:ascii="Calibri" w:hAnsi="Calibri" w:cs="Arial"/>
                <w:color w:val="000000"/>
              </w:rPr>
              <w:t xml:space="preserve">   </w:t>
            </w:r>
            <w:r w:rsidRPr="003F23FB">
              <w:rPr>
                <w:rFonts w:ascii="Calibri" w:hAnsi="Calibri" w:cs="Arial"/>
                <w:color w:val="000000"/>
              </w:rPr>
              <w:t>Builds effective teams, networks or communities of practice and</w:t>
            </w:r>
            <w:r>
              <w:rPr>
                <w:rFonts w:ascii="Calibri" w:hAnsi="Calibri" w:cs="Arial"/>
                <w:color w:val="000000"/>
              </w:rPr>
              <w:t xml:space="preserve"> </w:t>
            </w:r>
            <w:r w:rsidRPr="003F23FB">
              <w:rPr>
                <w:rFonts w:ascii="Calibri" w:hAnsi="Calibri" w:cs="Arial"/>
                <w:color w:val="000000"/>
              </w:rPr>
              <w:t>fosters constructive cross team collaboration.</w:t>
            </w:r>
          </w:p>
          <w:p w:rsidR="00603E81" w:rsidRPr="00A2502C" w:rsidRDefault="003F23FB" w:rsidP="007128A1">
            <w:pPr>
              <w:rPr>
                <w:rFonts w:ascii="Calibri" w:hAnsi="Calibri" w:cs="Arial"/>
                <w:color w:val="000000"/>
              </w:rPr>
            </w:pPr>
            <w:r w:rsidRPr="003F23FB">
              <w:rPr>
                <w:rFonts w:ascii="Calibri" w:hAnsi="Calibri" w:cs="Arial"/>
                <w:color w:val="000000"/>
              </w:rPr>
              <w:t>•</w:t>
            </w:r>
            <w:r>
              <w:rPr>
                <w:rFonts w:ascii="Calibri" w:hAnsi="Calibri" w:cs="Arial"/>
                <w:color w:val="000000"/>
              </w:rPr>
              <w:t xml:space="preserve">   </w:t>
            </w:r>
            <w:r w:rsidRPr="003F23FB">
              <w:rPr>
                <w:rFonts w:ascii="Calibri" w:hAnsi="Calibri" w:cs="Arial"/>
                <w:color w:val="000000"/>
              </w:rPr>
              <w:t>A team player and able to act collaboratively with close colleague</w:t>
            </w:r>
            <w:r>
              <w:rPr>
                <w:rFonts w:ascii="Calibri" w:hAnsi="Calibri" w:cs="Arial"/>
                <w:color w:val="000000"/>
              </w:rPr>
              <w:t xml:space="preserve"> </w:t>
            </w:r>
            <w:r w:rsidRPr="003F23FB">
              <w:rPr>
                <w:rFonts w:ascii="Calibri" w:hAnsi="Calibri" w:cs="Arial"/>
                <w:color w:val="000000"/>
              </w:rPr>
              <w:t>sand in the wider UAL community.</w:t>
            </w:r>
          </w:p>
        </w:tc>
      </w:tr>
      <w:tr w:rsidR="003F23FB" w:rsidRPr="005D7A28" w:rsidTr="001F575A">
        <w:tc>
          <w:tcPr>
            <w:tcW w:w="3794" w:type="dxa"/>
            <w:vAlign w:val="center"/>
          </w:tcPr>
          <w:p w:rsidR="003F23FB" w:rsidRPr="005D7A28" w:rsidRDefault="003F23FB" w:rsidP="001F575A">
            <w:pPr>
              <w:spacing w:before="120" w:after="120"/>
              <w:rPr>
                <w:rFonts w:ascii="Calibri" w:hAnsi="Calibri" w:cs="Arial"/>
              </w:rPr>
            </w:pPr>
            <w:r w:rsidRPr="003F23FB">
              <w:rPr>
                <w:rFonts w:ascii="Calibri" w:hAnsi="Calibri" w:cs="Arial"/>
              </w:rPr>
              <w:t>Student experience or customer service</w:t>
            </w:r>
          </w:p>
        </w:tc>
        <w:tc>
          <w:tcPr>
            <w:tcW w:w="5386" w:type="dxa"/>
            <w:vAlign w:val="center"/>
          </w:tcPr>
          <w:p w:rsidR="003F23FB" w:rsidRPr="005D7A28" w:rsidRDefault="003F23FB" w:rsidP="001F575A">
            <w:pPr>
              <w:spacing w:before="120" w:after="120"/>
              <w:rPr>
                <w:rFonts w:ascii="Calibri" w:hAnsi="Calibri" w:cs="Arial"/>
                <w:color w:val="000000"/>
              </w:rPr>
            </w:pPr>
            <w:r w:rsidRPr="003F23FB">
              <w:rPr>
                <w:rFonts w:ascii="Calibri" w:hAnsi="Calibri" w:cs="Arial"/>
                <w:color w:val="000000"/>
              </w:rPr>
              <w:t>•</w:t>
            </w:r>
            <w:r>
              <w:rPr>
                <w:rFonts w:ascii="Calibri" w:hAnsi="Calibri" w:cs="Arial"/>
                <w:color w:val="000000"/>
              </w:rPr>
              <w:t xml:space="preserve">   </w:t>
            </w:r>
            <w:r w:rsidRPr="003F23FB">
              <w:rPr>
                <w:rFonts w:ascii="Calibri" w:hAnsi="Calibri" w:cs="Arial"/>
                <w:color w:val="000000"/>
              </w:rPr>
              <w:t>Makes a significant contribution to improving the student or</w:t>
            </w:r>
            <w:r>
              <w:rPr>
                <w:rFonts w:ascii="Calibri" w:hAnsi="Calibri" w:cs="Arial"/>
                <w:color w:val="000000"/>
              </w:rPr>
              <w:t xml:space="preserve"> </w:t>
            </w:r>
            <w:r w:rsidRPr="003F23FB">
              <w:rPr>
                <w:rFonts w:ascii="Calibri" w:hAnsi="Calibri" w:cs="Arial"/>
                <w:color w:val="000000"/>
              </w:rPr>
              <w:t>customer experience to promote an inclusive environment for</w:t>
            </w:r>
            <w:r>
              <w:rPr>
                <w:rFonts w:ascii="Calibri" w:hAnsi="Calibri" w:cs="Arial"/>
                <w:color w:val="000000"/>
              </w:rPr>
              <w:t xml:space="preserve"> </w:t>
            </w:r>
            <w:r w:rsidRPr="003F23FB">
              <w:rPr>
                <w:rFonts w:ascii="Calibri" w:hAnsi="Calibri" w:cs="Arial"/>
                <w:color w:val="000000"/>
              </w:rPr>
              <w:t>students, colleagues or customers.</w:t>
            </w:r>
          </w:p>
        </w:tc>
      </w:tr>
      <w:tr w:rsidR="00DE696E" w:rsidRPr="005D7A28" w:rsidTr="001F575A">
        <w:tc>
          <w:tcPr>
            <w:tcW w:w="3794" w:type="dxa"/>
            <w:vAlign w:val="center"/>
          </w:tcPr>
          <w:p w:rsidR="00DE696E" w:rsidRPr="005D7A28" w:rsidRDefault="00DE696E" w:rsidP="001F575A">
            <w:pPr>
              <w:spacing w:before="120"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386" w:type="dxa"/>
            <w:vAlign w:val="center"/>
          </w:tcPr>
          <w:p w:rsidR="003F23FB" w:rsidRPr="003F23FB" w:rsidRDefault="003F23FB" w:rsidP="003F23FB">
            <w:pPr>
              <w:spacing w:before="120" w:after="120"/>
              <w:rPr>
                <w:rFonts w:ascii="Calibri" w:hAnsi="Calibri" w:cs="Arial"/>
                <w:color w:val="000000"/>
              </w:rPr>
            </w:pPr>
            <w:r w:rsidRPr="003F23FB">
              <w:rPr>
                <w:rFonts w:ascii="Calibri" w:hAnsi="Calibri" w:cs="Arial"/>
                <w:color w:val="000000"/>
              </w:rPr>
              <w:t>•</w:t>
            </w:r>
            <w:r>
              <w:rPr>
                <w:rFonts w:ascii="Calibri" w:hAnsi="Calibri" w:cs="Arial"/>
                <w:color w:val="000000"/>
              </w:rPr>
              <w:t xml:space="preserve">   </w:t>
            </w:r>
            <w:r w:rsidRPr="003F23FB">
              <w:rPr>
                <w:rFonts w:ascii="Calibri" w:hAnsi="Calibri" w:cs="Arial"/>
                <w:color w:val="000000"/>
              </w:rPr>
              <w:t>Identifies innovative solutions to problems to bring a wider benefit</w:t>
            </w:r>
            <w:r>
              <w:rPr>
                <w:rFonts w:ascii="Calibri" w:hAnsi="Calibri" w:cs="Arial"/>
                <w:color w:val="000000"/>
              </w:rPr>
              <w:t xml:space="preserve"> </w:t>
            </w:r>
            <w:r w:rsidRPr="003F23FB">
              <w:rPr>
                <w:rFonts w:ascii="Calibri" w:hAnsi="Calibri" w:cs="Arial"/>
                <w:color w:val="000000"/>
              </w:rPr>
              <w:t>to the organisation</w:t>
            </w:r>
          </w:p>
          <w:p w:rsidR="00DE696E" w:rsidRPr="005D7A28" w:rsidRDefault="003F23FB" w:rsidP="003F23FB">
            <w:pPr>
              <w:spacing w:before="120" w:after="120"/>
              <w:rPr>
                <w:rFonts w:ascii="Calibri" w:hAnsi="Calibri" w:cs="Arial"/>
                <w:color w:val="000000"/>
              </w:rPr>
            </w:pPr>
            <w:r w:rsidRPr="003F23FB">
              <w:rPr>
                <w:rFonts w:ascii="Calibri" w:hAnsi="Calibri" w:cs="Arial"/>
                <w:color w:val="000000"/>
              </w:rPr>
              <w:t>•</w:t>
            </w:r>
            <w:r>
              <w:rPr>
                <w:rFonts w:ascii="Calibri" w:hAnsi="Calibri" w:cs="Arial"/>
                <w:color w:val="000000"/>
              </w:rPr>
              <w:t xml:space="preserve">   </w:t>
            </w:r>
            <w:r w:rsidRPr="003F23FB">
              <w:rPr>
                <w:rFonts w:ascii="Calibri" w:hAnsi="Calibri" w:cs="Arial"/>
                <w:color w:val="000000"/>
              </w:rPr>
              <w:t xml:space="preserve">Ability to adapt to changing circumstances and deal </w:t>
            </w:r>
            <w:r>
              <w:rPr>
                <w:rFonts w:ascii="Calibri" w:hAnsi="Calibri" w:cs="Arial"/>
                <w:color w:val="000000"/>
              </w:rPr>
              <w:t xml:space="preserve">    </w:t>
            </w:r>
            <w:r w:rsidRPr="003F23FB">
              <w:rPr>
                <w:rFonts w:ascii="Calibri" w:hAnsi="Calibri" w:cs="Arial"/>
                <w:color w:val="000000"/>
              </w:rPr>
              <w:t>effectively with</w:t>
            </w:r>
            <w:r>
              <w:rPr>
                <w:rFonts w:ascii="Calibri" w:hAnsi="Calibri" w:cs="Arial"/>
                <w:color w:val="000000"/>
              </w:rPr>
              <w:t xml:space="preserve"> </w:t>
            </w:r>
            <w:r w:rsidRPr="003F23FB">
              <w:rPr>
                <w:rFonts w:ascii="Calibri" w:hAnsi="Calibri" w:cs="Arial"/>
                <w:color w:val="000000"/>
              </w:rPr>
              <w:t>major challenges.</w:t>
            </w:r>
          </w:p>
        </w:tc>
      </w:tr>
    </w:tbl>
    <w:p w:rsidR="00603E81" w:rsidRDefault="00603E81" w:rsidP="00DE696E">
      <w:pPr>
        <w:spacing w:before="120"/>
        <w:rPr>
          <w:rFonts w:ascii="Calibri" w:hAnsi="Calibri" w:cs="Arial"/>
          <w:bCs/>
        </w:rPr>
      </w:pPr>
    </w:p>
    <w:p w:rsidR="00FC2F78" w:rsidRDefault="00FC2F78" w:rsidP="00DE696E">
      <w:pPr>
        <w:spacing w:before="120"/>
        <w:rPr>
          <w:rFonts w:ascii="Calibri" w:hAnsi="Calibri" w:cs="Arial"/>
        </w:rPr>
      </w:pPr>
    </w:p>
    <w:p w:rsidR="004333A8" w:rsidRPr="00C007C8" w:rsidRDefault="004333A8" w:rsidP="00C007C8"/>
    <w:p w:rsidR="00594C01" w:rsidRPr="00C007C8" w:rsidRDefault="00594C01" w:rsidP="00C007C8"/>
    <w:sectPr w:rsidR="00594C01" w:rsidRPr="00C007C8"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ABB" w:rsidRDefault="00B06ABB">
      <w:r>
        <w:separator/>
      </w:r>
    </w:p>
  </w:endnote>
  <w:endnote w:type="continuationSeparator" w:id="0">
    <w:p w:rsidR="00B06ABB" w:rsidRDefault="00B0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ABB" w:rsidRDefault="00B06ABB">
      <w:r>
        <w:separator/>
      </w:r>
    </w:p>
  </w:footnote>
  <w:footnote w:type="continuationSeparator" w:id="0">
    <w:p w:rsidR="00B06ABB" w:rsidRDefault="00B06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8930EB8" wp14:editId="4CA8892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872475"/>
    <w:multiLevelType w:val="hybridMultilevel"/>
    <w:tmpl w:val="8F40255A"/>
    <w:lvl w:ilvl="0" w:tplc="C1DEE9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43FC0"/>
    <w:multiLevelType w:val="hybridMultilevel"/>
    <w:tmpl w:val="C292ECA6"/>
    <w:lvl w:ilvl="0" w:tplc="C1DEE9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52CD2"/>
    <w:multiLevelType w:val="hybridMultilevel"/>
    <w:tmpl w:val="7026D1E8"/>
    <w:lvl w:ilvl="0" w:tplc="C1DEE9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C623D9"/>
    <w:multiLevelType w:val="hybridMultilevel"/>
    <w:tmpl w:val="DF6E11DC"/>
    <w:lvl w:ilvl="0" w:tplc="C1DEE9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04E6F"/>
    <w:multiLevelType w:val="hybridMultilevel"/>
    <w:tmpl w:val="9DF6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D4E99"/>
    <w:multiLevelType w:val="hybridMultilevel"/>
    <w:tmpl w:val="34F0606A"/>
    <w:lvl w:ilvl="0" w:tplc="C1DEE97C">
      <w:numFmt w:val="bullet"/>
      <w:lvlText w:val="•"/>
      <w:lvlJc w:val="left"/>
      <w:pPr>
        <w:ind w:left="360" w:hanging="360"/>
      </w:pPr>
      <w:rPr>
        <w:rFonts w:ascii="Calibri" w:eastAsia="Times New Roman"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9F218D2"/>
    <w:multiLevelType w:val="hybridMultilevel"/>
    <w:tmpl w:val="D8A26328"/>
    <w:lvl w:ilvl="0" w:tplc="C1DEE9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312B08"/>
    <w:multiLevelType w:val="hybridMultilevel"/>
    <w:tmpl w:val="F9445006"/>
    <w:lvl w:ilvl="0" w:tplc="C1DEE9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651799"/>
    <w:multiLevelType w:val="hybridMultilevel"/>
    <w:tmpl w:val="1BB8D538"/>
    <w:lvl w:ilvl="0" w:tplc="C1DEE9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8"/>
  </w:num>
  <w:num w:numId="5">
    <w:abstractNumId w:val="1"/>
  </w:num>
  <w:num w:numId="6">
    <w:abstractNumId w:val="4"/>
  </w:num>
  <w:num w:numId="7">
    <w:abstractNumId w:val="7"/>
  </w:num>
  <w:num w:numId="8">
    <w:abstractNumId w:val="3"/>
  </w:num>
  <w:num w:numId="9">
    <w:abstractNumId w:val="6"/>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84C0E"/>
    <w:rsid w:val="00094004"/>
    <w:rsid w:val="000940A9"/>
    <w:rsid w:val="000A7396"/>
    <w:rsid w:val="000B4B43"/>
    <w:rsid w:val="000C0840"/>
    <w:rsid w:val="000C2C30"/>
    <w:rsid w:val="000F2DDA"/>
    <w:rsid w:val="00103C44"/>
    <w:rsid w:val="00117B35"/>
    <w:rsid w:val="00143C49"/>
    <w:rsid w:val="00150DEB"/>
    <w:rsid w:val="001C6D22"/>
    <w:rsid w:val="001D0B67"/>
    <w:rsid w:val="001F490C"/>
    <w:rsid w:val="00262E2D"/>
    <w:rsid w:val="00265D84"/>
    <w:rsid w:val="00267073"/>
    <w:rsid w:val="00273FAC"/>
    <w:rsid w:val="0027651F"/>
    <w:rsid w:val="00284B93"/>
    <w:rsid w:val="00286686"/>
    <w:rsid w:val="00296584"/>
    <w:rsid w:val="002B7662"/>
    <w:rsid w:val="002C2DE7"/>
    <w:rsid w:val="00317BFE"/>
    <w:rsid w:val="00390BBB"/>
    <w:rsid w:val="003B2633"/>
    <w:rsid w:val="003B3CE6"/>
    <w:rsid w:val="003C2E1D"/>
    <w:rsid w:val="003D3432"/>
    <w:rsid w:val="003D5FCE"/>
    <w:rsid w:val="003E3AE4"/>
    <w:rsid w:val="003F23FB"/>
    <w:rsid w:val="003F77DF"/>
    <w:rsid w:val="0040142F"/>
    <w:rsid w:val="00403C33"/>
    <w:rsid w:val="00431B5B"/>
    <w:rsid w:val="004333A8"/>
    <w:rsid w:val="00461E60"/>
    <w:rsid w:val="004816C6"/>
    <w:rsid w:val="004879C9"/>
    <w:rsid w:val="004D3601"/>
    <w:rsid w:val="004E3268"/>
    <w:rsid w:val="00504901"/>
    <w:rsid w:val="0051790B"/>
    <w:rsid w:val="00520FE9"/>
    <w:rsid w:val="00525DF6"/>
    <w:rsid w:val="0053123A"/>
    <w:rsid w:val="00556B30"/>
    <w:rsid w:val="00560860"/>
    <w:rsid w:val="005608FB"/>
    <w:rsid w:val="00570A89"/>
    <w:rsid w:val="00570BB1"/>
    <w:rsid w:val="00576313"/>
    <w:rsid w:val="00594C01"/>
    <w:rsid w:val="005F772D"/>
    <w:rsid w:val="00603E81"/>
    <w:rsid w:val="00624AD2"/>
    <w:rsid w:val="00635CC0"/>
    <w:rsid w:val="00660F33"/>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96DAE"/>
    <w:rsid w:val="008100BB"/>
    <w:rsid w:val="00815AAD"/>
    <w:rsid w:val="008217DE"/>
    <w:rsid w:val="00844A9D"/>
    <w:rsid w:val="0086380C"/>
    <w:rsid w:val="00877BBA"/>
    <w:rsid w:val="008D390B"/>
    <w:rsid w:val="008E430C"/>
    <w:rsid w:val="008E7F6B"/>
    <w:rsid w:val="008F6039"/>
    <w:rsid w:val="00934B07"/>
    <w:rsid w:val="009438D6"/>
    <w:rsid w:val="009557D4"/>
    <w:rsid w:val="009741B1"/>
    <w:rsid w:val="0097624E"/>
    <w:rsid w:val="00992ED5"/>
    <w:rsid w:val="009A741C"/>
    <w:rsid w:val="00A0586F"/>
    <w:rsid w:val="00A15DD8"/>
    <w:rsid w:val="00A2502C"/>
    <w:rsid w:val="00A514C8"/>
    <w:rsid w:val="00A6413C"/>
    <w:rsid w:val="00AA70BE"/>
    <w:rsid w:val="00AA7EA5"/>
    <w:rsid w:val="00AB562A"/>
    <w:rsid w:val="00AD5C3D"/>
    <w:rsid w:val="00AF0EA0"/>
    <w:rsid w:val="00AF6C2A"/>
    <w:rsid w:val="00B06ABB"/>
    <w:rsid w:val="00B26E52"/>
    <w:rsid w:val="00B4142B"/>
    <w:rsid w:val="00B67FB4"/>
    <w:rsid w:val="00BC730C"/>
    <w:rsid w:val="00BE115C"/>
    <w:rsid w:val="00C007C8"/>
    <w:rsid w:val="00C36210"/>
    <w:rsid w:val="00C41ED9"/>
    <w:rsid w:val="00C54E60"/>
    <w:rsid w:val="00C74767"/>
    <w:rsid w:val="00C74AC2"/>
    <w:rsid w:val="00CD1530"/>
    <w:rsid w:val="00CE2F41"/>
    <w:rsid w:val="00D1149C"/>
    <w:rsid w:val="00D11E19"/>
    <w:rsid w:val="00D21CDF"/>
    <w:rsid w:val="00D26B1F"/>
    <w:rsid w:val="00D27FC8"/>
    <w:rsid w:val="00D6418D"/>
    <w:rsid w:val="00D87564"/>
    <w:rsid w:val="00DE696E"/>
    <w:rsid w:val="00E00A83"/>
    <w:rsid w:val="00E10084"/>
    <w:rsid w:val="00E16EF2"/>
    <w:rsid w:val="00E46D94"/>
    <w:rsid w:val="00E62E0A"/>
    <w:rsid w:val="00EB1A74"/>
    <w:rsid w:val="00EC1698"/>
    <w:rsid w:val="00F020B4"/>
    <w:rsid w:val="00F332A8"/>
    <w:rsid w:val="00F419E5"/>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1"/>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paragraph" w:customStyle="1" w:styleId="Pa7">
    <w:name w:val="Pa7"/>
    <w:basedOn w:val="Normal"/>
    <w:next w:val="Normal"/>
    <w:uiPriority w:val="99"/>
    <w:rsid w:val="00C74AC2"/>
    <w:pPr>
      <w:autoSpaceDE w:val="0"/>
      <w:autoSpaceDN w:val="0"/>
      <w:adjustRightInd w:val="0"/>
      <w:spacing w:line="211" w:lineRule="atLeast"/>
    </w:pPr>
    <w:rPr>
      <w:rFonts w:ascii="Calibri" w:hAnsi="Calibri"/>
      <w:sz w:val="24"/>
    </w:rPr>
  </w:style>
  <w:style w:type="character" w:customStyle="1" w:styleId="A3">
    <w:name w:val="A3"/>
    <w:uiPriority w:val="99"/>
    <w:rsid w:val="00C74AC2"/>
    <w:rPr>
      <w:rFonts w:cs="Calibri"/>
      <w:color w:val="211D1E"/>
      <w:sz w:val="28"/>
      <w:szCs w:val="28"/>
    </w:rPr>
  </w:style>
  <w:style w:type="paragraph" w:customStyle="1" w:styleId="Pa4">
    <w:name w:val="Pa4"/>
    <w:basedOn w:val="Normal"/>
    <w:next w:val="Normal"/>
    <w:uiPriority w:val="99"/>
    <w:rsid w:val="00C74AC2"/>
    <w:pPr>
      <w:autoSpaceDE w:val="0"/>
      <w:autoSpaceDN w:val="0"/>
      <w:adjustRightInd w:val="0"/>
      <w:spacing w:line="211" w:lineRule="atLeast"/>
    </w:pPr>
    <w:rPr>
      <w:rFonts w:ascii="Calibri" w:hAnsi="Calibri"/>
      <w:sz w:val="24"/>
    </w:rPr>
  </w:style>
  <w:style w:type="character" w:customStyle="1" w:styleId="A4">
    <w:name w:val="A4"/>
    <w:uiPriority w:val="99"/>
    <w:rsid w:val="00C74AC2"/>
    <w:rPr>
      <w:rFonts w:cs="Calibri"/>
      <w:color w:val="D6427C"/>
      <w:sz w:val="16"/>
      <w:szCs w:val="16"/>
    </w:rPr>
  </w:style>
  <w:style w:type="paragraph" w:customStyle="1" w:styleId="Pa5">
    <w:name w:val="Pa5"/>
    <w:basedOn w:val="Normal"/>
    <w:next w:val="Normal"/>
    <w:uiPriority w:val="99"/>
    <w:rsid w:val="00C74AC2"/>
    <w:pPr>
      <w:autoSpaceDE w:val="0"/>
      <w:autoSpaceDN w:val="0"/>
      <w:adjustRightInd w:val="0"/>
      <w:spacing w:line="221" w:lineRule="atLeast"/>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66588-81C0-4F72-93A3-813CA608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David Hadler</cp:lastModifiedBy>
  <cp:revision>2</cp:revision>
  <cp:lastPrinted>2018-02-22T15:49:00Z</cp:lastPrinted>
  <dcterms:created xsi:type="dcterms:W3CDTF">2019-01-18T10:58:00Z</dcterms:created>
  <dcterms:modified xsi:type="dcterms:W3CDTF">2019-01-18T10:58:00Z</dcterms:modified>
</cp:coreProperties>
</file>